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IN THE SUPERIOR COURT OF </w:t>
      </w:r>
      <w:r w:rsidR="001A725D">
        <w:rPr>
          <w:rFonts w:ascii="Times New Roman" w:hAnsi="Times New Roman"/>
          <w:b/>
          <w:bCs/>
          <w:sz w:val="28"/>
          <w:szCs w:val="28"/>
        </w:rPr>
        <w:t>_____________</w:t>
      </w:r>
      <w:r>
        <w:rPr>
          <w:rFonts w:ascii="Times New Roman" w:hAnsi="Times New Roman"/>
          <w:b/>
          <w:bCs/>
          <w:sz w:val="28"/>
          <w:szCs w:val="28"/>
        </w:rPr>
        <w:t xml:space="preserve"> COUNTY</w: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STATE OF GEORGIA</w: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160020</wp:posOffset>
                </wp:positionV>
                <wp:extent cx="241935" cy="1131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27F" w:rsidRDefault="004D027F" w:rsidP="004D027F">
                            <w:r>
                              <w:t>*</w:t>
                            </w:r>
                          </w:p>
                          <w:p w:rsidR="004D027F" w:rsidRDefault="004D027F" w:rsidP="004D027F">
                            <w:r>
                              <w:t>*</w:t>
                            </w:r>
                          </w:p>
                          <w:p w:rsidR="004D027F" w:rsidRDefault="004D027F" w:rsidP="004D027F">
                            <w:r>
                              <w:t>*</w:t>
                            </w:r>
                          </w:p>
                          <w:p w:rsidR="004D027F" w:rsidRDefault="004D027F" w:rsidP="004D027F">
                            <w:r>
                              <w:t>*</w:t>
                            </w:r>
                          </w:p>
                          <w:p w:rsidR="004D027F" w:rsidRDefault="004D027F" w:rsidP="004D027F">
                            <w:r>
                              <w:t>*</w:t>
                            </w:r>
                          </w:p>
                          <w:p w:rsidR="004D027F" w:rsidRDefault="004D027F" w:rsidP="004D02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252pt;margin-top:12.6pt;width:19.05pt;height: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Ej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" filled="f" stroked="f">
                <v:textbox>
                  <w:txbxContent>
                    <w:p w:rsidR="004D027F" w:rsidRDefault="004D027F" w:rsidP="004D027F">
                      <w:r>
                        <w:t>*</w:t>
                      </w:r>
                    </w:p>
                    <w:p w:rsidR="004D027F" w:rsidRDefault="004D027F" w:rsidP="004D027F">
                      <w:r>
                        <w:t>*</w:t>
                      </w:r>
                    </w:p>
                    <w:p w:rsidR="004D027F" w:rsidRDefault="004D027F" w:rsidP="004D027F">
                      <w:r>
                        <w:t>*</w:t>
                      </w:r>
                    </w:p>
                    <w:p w:rsidR="004D027F" w:rsidRDefault="004D027F" w:rsidP="004D027F">
                      <w:r>
                        <w:t>*</w:t>
                      </w:r>
                    </w:p>
                    <w:p w:rsidR="004D027F" w:rsidRDefault="004D027F" w:rsidP="004D027F">
                      <w:r>
                        <w:t>*</w:t>
                      </w:r>
                    </w:p>
                    <w:p w:rsidR="004D027F" w:rsidRDefault="004D027F" w:rsidP="004D027F"/>
                  </w:txbxContent>
                </v:textbox>
              </v:shape>
            </w:pict>
          </mc:Fallback>
        </mc:AlternateConten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bCs/>
          <w:sz w:val="24"/>
          <w:szCs w:val="24"/>
        </w:rPr>
      </w:pP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STATE OF GEORGIA                                                                    </w:t>
      </w:r>
      <w:r>
        <w:rPr>
          <w:rFonts w:ascii="Times New Roman" w:hAnsi="Times New Roman"/>
          <w:b/>
          <w:bCs/>
        </w:rPr>
        <w:t>CLERK NO:</w: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vs.                                                                                            </w:t>
      </w:r>
      <w:r>
        <w:rPr>
          <w:rFonts w:ascii="Times New Roman" w:hAnsi="Times New Roman"/>
          <w:b/>
          <w:bCs/>
        </w:rPr>
        <w:t xml:space="preserve"> </w:t>
      </w:r>
      <w:r>
        <w:rPr>
          <w:rFonts w:ascii="Times New Roman" w:hAnsi="Times New Roman"/>
          <w:b/>
          <w:bCs/>
          <w:sz w:val="24"/>
          <w:szCs w:val="24"/>
        </w:rPr>
        <w:t xml:space="preserve">  </w:t>
      </w:r>
    </w:p>
    <w:p w:rsidR="004D027F" w:rsidRDefault="004D027F"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rPr>
      </w:pPr>
    </w:p>
    <w:p w:rsidR="004D027F" w:rsidRDefault="001A725D" w:rsidP="004D02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rPr>
      </w:pPr>
      <w:r>
        <w:rPr>
          <w:rFonts w:ascii="Times New Roman" w:hAnsi="Times New Roman"/>
          <w:b/>
          <w:bCs/>
        </w:rPr>
        <w:t>[DEFENDANT]</w:t>
      </w:r>
      <w:r w:rsidR="004D027F">
        <w:rPr>
          <w:rFonts w:ascii="Times New Roman" w:hAnsi="Times New Roman"/>
          <w:b/>
          <w:bCs/>
        </w:rPr>
        <w:t xml:space="preserve">  </w:t>
      </w:r>
      <w:r w:rsidR="004D027F">
        <w:rPr>
          <w:rFonts w:ascii="Times New Roman" w:hAnsi="Times New Roman"/>
          <w:b/>
          <w:bCs/>
        </w:rPr>
        <w:tab/>
      </w:r>
      <w:r w:rsidR="004D027F">
        <w:rPr>
          <w:rFonts w:ascii="Times New Roman" w:hAnsi="Times New Roman"/>
          <w:b/>
          <w:bCs/>
        </w:rPr>
        <w:tab/>
      </w:r>
      <w:r w:rsidR="004D027F">
        <w:rPr>
          <w:rFonts w:ascii="Times New Roman" w:hAnsi="Times New Roman"/>
          <w:b/>
          <w:bCs/>
        </w:rPr>
        <w:tab/>
      </w:r>
      <w:r w:rsidR="004D027F">
        <w:rPr>
          <w:rFonts w:ascii="Times New Roman" w:hAnsi="Times New Roman"/>
          <w:b/>
          <w:bCs/>
        </w:rPr>
        <w:tab/>
      </w:r>
      <w:r w:rsidR="004D027F">
        <w:rPr>
          <w:rFonts w:ascii="Times New Roman" w:hAnsi="Times New Roman"/>
          <w:b/>
          <w:bCs/>
        </w:rPr>
        <w:tab/>
      </w:r>
    </w:p>
    <w:p w:rsidR="004D027F" w:rsidRDefault="004D027F" w:rsidP="004D027F">
      <w:pPr>
        <w:jc w:val="center"/>
        <w:rPr>
          <w:rFonts w:ascii="Times New Roman" w:hAnsi="Times New Roman"/>
          <w:b/>
          <w:sz w:val="24"/>
          <w:szCs w:val="24"/>
        </w:rPr>
      </w:pPr>
    </w:p>
    <w:p w:rsidR="006E6BA6" w:rsidRDefault="006E6BA6" w:rsidP="004D027F">
      <w:pPr>
        <w:jc w:val="center"/>
        <w:rPr>
          <w:rFonts w:ascii="Times New Roman" w:hAnsi="Times New Roman"/>
          <w:b/>
          <w:sz w:val="24"/>
          <w:szCs w:val="24"/>
        </w:rPr>
      </w:pPr>
    </w:p>
    <w:p w:rsidR="004D027F" w:rsidRPr="004D027F" w:rsidRDefault="004D027F" w:rsidP="004D027F">
      <w:pPr>
        <w:jc w:val="center"/>
        <w:rPr>
          <w:rFonts w:ascii="Times New Roman" w:hAnsi="Times New Roman"/>
          <w:b/>
          <w:sz w:val="24"/>
          <w:szCs w:val="24"/>
          <w:u w:val="single"/>
        </w:rPr>
      </w:pPr>
      <w:r w:rsidRPr="004D027F">
        <w:rPr>
          <w:rFonts w:ascii="Times New Roman" w:hAnsi="Times New Roman"/>
          <w:b/>
          <w:sz w:val="24"/>
          <w:szCs w:val="24"/>
          <w:u w:val="single"/>
        </w:rPr>
        <w:t xml:space="preserve">MOTION IN LIMINE TO EXCLUDE EVIDENCE IN VIOLATION OF </w:t>
      </w:r>
    </w:p>
    <w:p w:rsidR="000A36B4" w:rsidRPr="004D027F" w:rsidRDefault="004D027F" w:rsidP="004D027F">
      <w:pPr>
        <w:jc w:val="center"/>
        <w:rPr>
          <w:rFonts w:ascii="Times New Roman" w:hAnsi="Times New Roman"/>
          <w:b/>
          <w:sz w:val="24"/>
          <w:szCs w:val="24"/>
          <w:u w:val="single"/>
        </w:rPr>
      </w:pPr>
      <w:r w:rsidRPr="004D027F">
        <w:rPr>
          <w:rFonts w:ascii="Times New Roman" w:hAnsi="Times New Roman"/>
          <w:b/>
          <w:sz w:val="24"/>
          <w:szCs w:val="24"/>
          <w:u w:val="single"/>
        </w:rPr>
        <w:t>O.C.G.A. § 24-4-412 (“RAPE SHIELD STATUE”)</w:t>
      </w:r>
    </w:p>
    <w:p w:rsidR="004D027F" w:rsidRDefault="004D027F" w:rsidP="006E6BA6">
      <w:pPr>
        <w:spacing w:line="480" w:lineRule="auto"/>
        <w:rPr>
          <w:rFonts w:ascii="Times New Roman" w:hAnsi="Times New Roman"/>
          <w:b/>
          <w:sz w:val="24"/>
          <w:szCs w:val="24"/>
        </w:rPr>
      </w:pPr>
    </w:p>
    <w:p w:rsidR="009B0BB7" w:rsidRDefault="004D027F" w:rsidP="006F08CD">
      <w:pPr>
        <w:spacing w:line="480" w:lineRule="auto"/>
        <w:rPr>
          <w:rFonts w:ascii="Times New Roman" w:hAnsi="Times New Roman"/>
          <w:sz w:val="24"/>
          <w:szCs w:val="24"/>
        </w:rPr>
      </w:pPr>
      <w:r>
        <w:rPr>
          <w:rFonts w:ascii="Times New Roman" w:hAnsi="Times New Roman"/>
          <w:sz w:val="24"/>
          <w:szCs w:val="24"/>
        </w:rPr>
        <w:tab/>
        <w:t>Comes now, the State of Georgia, by and through the District Attorney</w:t>
      </w:r>
      <w:r w:rsidR="00B90AA2">
        <w:rPr>
          <w:rFonts w:ascii="Times New Roman" w:hAnsi="Times New Roman"/>
          <w:sz w:val="24"/>
          <w:szCs w:val="24"/>
        </w:rPr>
        <w:t xml:space="preserve"> and the undersigned Assistant District Attorney</w:t>
      </w:r>
      <w:r>
        <w:rPr>
          <w:rFonts w:ascii="Times New Roman" w:hAnsi="Times New Roman"/>
          <w:sz w:val="24"/>
          <w:szCs w:val="24"/>
        </w:rPr>
        <w:t>, and hereby moves to exclude evidence in violation of O.C.G.A § 24-4-412</w:t>
      </w:r>
      <w:r w:rsidR="009B0BB7">
        <w:rPr>
          <w:rFonts w:ascii="Times New Roman" w:hAnsi="Times New Roman"/>
          <w:sz w:val="24"/>
          <w:szCs w:val="24"/>
        </w:rPr>
        <w:t xml:space="preserve"> (also referred to as Georgia’s “Rape Shield Statute”) during the trial in the above-referenced indictment.  In support of this motion, the State would show the following:</w:t>
      </w:r>
    </w:p>
    <w:p w:rsidR="009B0BB7" w:rsidRDefault="009B0BB7" w:rsidP="006F08CD">
      <w:pPr>
        <w:spacing w:line="480" w:lineRule="auto"/>
        <w:jc w:val="center"/>
        <w:rPr>
          <w:rFonts w:ascii="Times New Roman" w:hAnsi="Times New Roman"/>
          <w:sz w:val="24"/>
          <w:szCs w:val="24"/>
        </w:rPr>
      </w:pPr>
      <w:r>
        <w:rPr>
          <w:rFonts w:ascii="Times New Roman" w:hAnsi="Times New Roman"/>
          <w:sz w:val="24"/>
          <w:szCs w:val="24"/>
        </w:rPr>
        <w:t>I.</w:t>
      </w:r>
    </w:p>
    <w:p w:rsidR="009B0BB7" w:rsidRDefault="009B0BB7" w:rsidP="006F08CD">
      <w:pPr>
        <w:spacing w:line="480" w:lineRule="auto"/>
        <w:rPr>
          <w:rFonts w:ascii="Times New Roman" w:hAnsi="Times New Roman"/>
          <w:sz w:val="24"/>
          <w:szCs w:val="24"/>
        </w:rPr>
      </w:pPr>
      <w:r>
        <w:rPr>
          <w:rFonts w:ascii="Times New Roman" w:hAnsi="Times New Roman"/>
          <w:sz w:val="24"/>
          <w:szCs w:val="24"/>
        </w:rPr>
        <w:tab/>
        <w:t xml:space="preserve">The State anticipates that the defendant will attempt to introduce evidence of another outcry of sexual assault made by the victim, </w:t>
      </w:r>
      <w:r w:rsidR="001A725D">
        <w:rPr>
          <w:rFonts w:ascii="Times New Roman" w:hAnsi="Times New Roman"/>
          <w:sz w:val="24"/>
          <w:szCs w:val="24"/>
        </w:rPr>
        <w:t>[INSERT NAME]</w:t>
      </w:r>
      <w:r>
        <w:rPr>
          <w:rFonts w:ascii="Times New Roman" w:hAnsi="Times New Roman"/>
          <w:sz w:val="24"/>
          <w:szCs w:val="24"/>
        </w:rPr>
        <w:t>, against a third party</w:t>
      </w:r>
      <w:r w:rsidR="001A725D">
        <w:rPr>
          <w:rFonts w:ascii="Times New Roman" w:hAnsi="Times New Roman"/>
          <w:sz w:val="24"/>
          <w:szCs w:val="24"/>
        </w:rPr>
        <w:t xml:space="preserve">.  </w:t>
      </w:r>
      <w:r>
        <w:rPr>
          <w:rFonts w:ascii="Times New Roman" w:hAnsi="Times New Roman"/>
          <w:sz w:val="24"/>
          <w:szCs w:val="24"/>
        </w:rPr>
        <w:t>This outcry occurred when the victim was a young child</w:t>
      </w:r>
      <w:r w:rsidR="00B90AA2">
        <w:rPr>
          <w:rFonts w:ascii="Times New Roman" w:hAnsi="Times New Roman"/>
          <w:sz w:val="24"/>
          <w:szCs w:val="24"/>
        </w:rPr>
        <w:t xml:space="preserve">, approximately </w:t>
      </w:r>
      <w:r w:rsidR="001A725D">
        <w:rPr>
          <w:rFonts w:ascii="Times New Roman" w:hAnsi="Times New Roman"/>
          <w:sz w:val="24"/>
          <w:szCs w:val="24"/>
        </w:rPr>
        <w:t>X</w:t>
      </w:r>
      <w:r w:rsidR="00B90AA2">
        <w:rPr>
          <w:rFonts w:ascii="Times New Roman" w:hAnsi="Times New Roman"/>
          <w:sz w:val="24"/>
          <w:szCs w:val="24"/>
        </w:rPr>
        <w:t xml:space="preserve"> years of age</w:t>
      </w:r>
      <w:r>
        <w:rPr>
          <w:rFonts w:ascii="Times New Roman" w:hAnsi="Times New Roman"/>
          <w:sz w:val="24"/>
          <w:szCs w:val="24"/>
        </w:rPr>
        <w:t xml:space="preserve">.  </w:t>
      </w:r>
      <w:r w:rsidR="001A725D">
        <w:rPr>
          <w:rFonts w:ascii="Times New Roman" w:hAnsi="Times New Roman"/>
          <w:sz w:val="24"/>
          <w:szCs w:val="24"/>
        </w:rPr>
        <w:t>[INSERT BRIEF ACCOUNT OF OTHER ALLEGATION]</w:t>
      </w:r>
    </w:p>
    <w:p w:rsidR="007932BA" w:rsidRDefault="009B0BB7" w:rsidP="001A725D">
      <w:pPr>
        <w:spacing w:line="480" w:lineRule="auto"/>
        <w:rPr>
          <w:rFonts w:ascii="Times New Roman" w:hAnsi="Times New Roman"/>
          <w:sz w:val="24"/>
          <w:szCs w:val="24"/>
        </w:rPr>
      </w:pPr>
      <w:r>
        <w:rPr>
          <w:rFonts w:ascii="Times New Roman" w:hAnsi="Times New Roman"/>
          <w:sz w:val="24"/>
          <w:szCs w:val="24"/>
        </w:rPr>
        <w:tab/>
      </w:r>
      <w:proofErr w:type="gramStart"/>
      <w:r w:rsidR="001A725D">
        <w:rPr>
          <w:rFonts w:ascii="Times New Roman" w:hAnsi="Times New Roman"/>
          <w:sz w:val="24"/>
          <w:szCs w:val="24"/>
        </w:rPr>
        <w:t>[INSERT BRIEF RECITATION OF FACTS FOR CRIMES ALLEGED IN INDICTMENT].</w:t>
      </w:r>
      <w:proofErr w:type="gramEnd"/>
    </w:p>
    <w:p w:rsidR="006E6BA6" w:rsidRDefault="006E6BA6" w:rsidP="006F08CD">
      <w:pPr>
        <w:spacing w:line="480" w:lineRule="auto"/>
        <w:rPr>
          <w:rFonts w:ascii="Times New Roman" w:hAnsi="Times New Roman"/>
          <w:sz w:val="24"/>
          <w:szCs w:val="24"/>
        </w:rPr>
      </w:pPr>
    </w:p>
    <w:p w:rsidR="006E6BA6" w:rsidRDefault="006E6BA6" w:rsidP="006F08CD">
      <w:pPr>
        <w:spacing w:line="480" w:lineRule="auto"/>
        <w:rPr>
          <w:rFonts w:ascii="Times New Roman" w:hAnsi="Times New Roman"/>
          <w:sz w:val="24"/>
          <w:szCs w:val="24"/>
        </w:rPr>
      </w:pPr>
    </w:p>
    <w:p w:rsidR="007932BA" w:rsidRDefault="007932BA" w:rsidP="006F08CD">
      <w:pPr>
        <w:spacing w:line="480" w:lineRule="auto"/>
        <w:jc w:val="center"/>
        <w:rPr>
          <w:rFonts w:ascii="Times New Roman" w:hAnsi="Times New Roman"/>
          <w:sz w:val="24"/>
          <w:szCs w:val="24"/>
        </w:rPr>
      </w:pPr>
      <w:r>
        <w:rPr>
          <w:rFonts w:ascii="Times New Roman" w:hAnsi="Times New Roman"/>
          <w:sz w:val="24"/>
          <w:szCs w:val="24"/>
        </w:rPr>
        <w:t>II.</w:t>
      </w:r>
    </w:p>
    <w:p w:rsidR="007932BA" w:rsidRDefault="007932BA" w:rsidP="006F08CD">
      <w:pPr>
        <w:autoSpaceDE w:val="0"/>
        <w:autoSpaceDN w:val="0"/>
        <w:adjustRightInd w:val="0"/>
        <w:spacing w:after="0" w:line="480" w:lineRule="auto"/>
        <w:rPr>
          <w:rFonts w:ascii="Times New Roman" w:eastAsiaTheme="minorHAnsi" w:hAnsi="Times New Roman"/>
          <w:sz w:val="24"/>
          <w:szCs w:val="24"/>
        </w:rPr>
      </w:pPr>
      <w:r>
        <w:rPr>
          <w:rFonts w:ascii="Times New Roman" w:hAnsi="Times New Roman"/>
          <w:sz w:val="24"/>
          <w:szCs w:val="24"/>
        </w:rPr>
        <w:tab/>
      </w:r>
      <w:r w:rsidRPr="006E6BA6">
        <w:rPr>
          <w:rFonts w:ascii="Times New Roman" w:hAnsi="Times New Roman"/>
          <w:sz w:val="24"/>
          <w:szCs w:val="24"/>
        </w:rPr>
        <w:t xml:space="preserve">Any evidence concerning the allegation involving </w:t>
      </w:r>
      <w:r w:rsidR="001A725D">
        <w:rPr>
          <w:rFonts w:ascii="Times New Roman" w:hAnsi="Times New Roman"/>
          <w:sz w:val="24"/>
          <w:szCs w:val="24"/>
        </w:rPr>
        <w:t>[OTHER PERSON]</w:t>
      </w:r>
      <w:r w:rsidRPr="006E6BA6">
        <w:rPr>
          <w:rFonts w:ascii="Times New Roman" w:hAnsi="Times New Roman"/>
          <w:sz w:val="24"/>
          <w:szCs w:val="24"/>
        </w:rPr>
        <w:t xml:space="preserve"> should be deemed inadmissible pursuant to O.C.G.A. §24-4-412.  The statue provides in pertinent part that, “</w:t>
      </w:r>
      <w:r w:rsidRPr="006E6BA6">
        <w:rPr>
          <w:rFonts w:ascii="Times New Roman" w:eastAsiaTheme="minorHAnsi" w:hAnsi="Times New Roman"/>
          <w:sz w:val="24"/>
          <w:szCs w:val="24"/>
        </w:rPr>
        <w:t xml:space="preserve">In any prosecution for…aggravated child molestation or child molestation in violation of Code Section 16-6-4…evidence relating to the past sexual behavior of the complaining witness shall not be admissible, either as direct evidence or on cross-examination of the complaining witness or other witnesses, except as </w:t>
      </w:r>
      <w:r w:rsidR="006E6BA6" w:rsidRPr="006E6BA6">
        <w:rPr>
          <w:rFonts w:ascii="Times New Roman" w:eastAsiaTheme="minorHAnsi" w:hAnsi="Times New Roman"/>
          <w:sz w:val="24"/>
          <w:szCs w:val="24"/>
        </w:rPr>
        <w:t xml:space="preserve">provided in this Code section.”  O.C.G.A. §24-4-412(b) outlines the exception to this statute, stating that, </w:t>
      </w:r>
      <w:r w:rsidR="00B90AA2">
        <w:rPr>
          <w:rFonts w:ascii="Times New Roman" w:eastAsiaTheme="minorHAnsi" w:hAnsi="Times New Roman"/>
          <w:sz w:val="24"/>
          <w:szCs w:val="24"/>
        </w:rPr>
        <w:t>“</w:t>
      </w:r>
      <w:r w:rsidR="006E6BA6" w:rsidRPr="006E6BA6">
        <w:rPr>
          <w:rFonts w:ascii="Times New Roman" w:eastAsiaTheme="minorHAnsi" w:hAnsi="Times New Roman"/>
          <w:sz w:val="24"/>
          <w:szCs w:val="24"/>
        </w:rPr>
        <w:t>evidence relating to the past sexual behavior of the complaining witness</w:t>
      </w:r>
      <w:r w:rsidR="001A725D">
        <w:rPr>
          <w:rFonts w:ascii="Times New Roman" w:eastAsiaTheme="minorHAnsi" w:hAnsi="Times New Roman"/>
          <w:sz w:val="24"/>
          <w:szCs w:val="24"/>
        </w:rPr>
        <w:t xml:space="preserve"> </w:t>
      </w:r>
      <w:r w:rsidR="006E6BA6" w:rsidRPr="006E6BA6">
        <w:rPr>
          <w:rFonts w:ascii="Times New Roman" w:eastAsiaTheme="minorHAnsi" w:hAnsi="Times New Roman"/>
          <w:sz w:val="24"/>
          <w:szCs w:val="24"/>
        </w:rPr>
        <w:t xml:space="preserve">may be introduced if the court, following the procedure described in subsection (c) of this </w:t>
      </w:r>
      <w:proofErr w:type="spellStart"/>
      <w:r w:rsidR="006E6BA6" w:rsidRPr="006E6BA6">
        <w:rPr>
          <w:rFonts w:ascii="Times New Roman" w:eastAsiaTheme="minorHAnsi" w:hAnsi="Times New Roman"/>
          <w:sz w:val="24"/>
          <w:szCs w:val="24"/>
        </w:rPr>
        <w:t>Codesection</w:t>
      </w:r>
      <w:proofErr w:type="spellEnd"/>
      <w:r w:rsidR="006E6BA6" w:rsidRPr="006E6BA6">
        <w:rPr>
          <w:rFonts w:ascii="Times New Roman" w:eastAsiaTheme="minorHAnsi" w:hAnsi="Times New Roman"/>
          <w:sz w:val="24"/>
          <w:szCs w:val="24"/>
        </w:rPr>
        <w:t>, finds that the past sexual behavior directly involved the participation of the accused and</w:t>
      </w:r>
      <w:r w:rsidR="001A725D">
        <w:rPr>
          <w:rFonts w:ascii="Times New Roman" w:eastAsiaTheme="minorHAnsi" w:hAnsi="Times New Roman"/>
          <w:sz w:val="24"/>
          <w:szCs w:val="24"/>
        </w:rPr>
        <w:t xml:space="preserve"> </w:t>
      </w:r>
      <w:r w:rsidR="006E6BA6" w:rsidRPr="006E6BA6">
        <w:rPr>
          <w:rFonts w:ascii="Times New Roman" w:eastAsiaTheme="minorHAnsi" w:hAnsi="Times New Roman"/>
          <w:sz w:val="24"/>
          <w:szCs w:val="24"/>
        </w:rPr>
        <w:t>finds that the evidence expected to be introduced supports an inference that the accused could have reasonably believed that the complaining witness consented to the conduct complained of in the prosecution.”</w:t>
      </w:r>
    </w:p>
    <w:p w:rsidR="006E6BA6" w:rsidRDefault="006E6BA6" w:rsidP="006F08CD">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sz w:val="24"/>
          <w:szCs w:val="24"/>
        </w:rPr>
        <w:tab/>
      </w:r>
      <w:r w:rsidR="001A725D">
        <w:rPr>
          <w:rFonts w:ascii="Times New Roman" w:eastAsiaTheme="minorHAnsi" w:hAnsi="Times New Roman"/>
          <w:sz w:val="24"/>
          <w:szCs w:val="24"/>
        </w:rPr>
        <w:t>[IF VICTIM UNDER AGE OF CONSENT]</w:t>
      </w:r>
      <w:r>
        <w:rPr>
          <w:rFonts w:ascii="Times New Roman" w:eastAsiaTheme="minorHAnsi" w:hAnsi="Times New Roman"/>
          <w:sz w:val="24"/>
          <w:szCs w:val="24"/>
        </w:rPr>
        <w:t>, she could not have consented to the sexual behavior as a matter of law.  Therefore, the statutory exception in O.C.G.A. §24-4-412 cannot apply to the instant case.</w:t>
      </w:r>
    </w:p>
    <w:p w:rsidR="006E6BA6" w:rsidRDefault="006E6BA6" w:rsidP="006F08CD">
      <w:pPr>
        <w:autoSpaceDE w:val="0"/>
        <w:autoSpaceDN w:val="0"/>
        <w:adjustRightInd w:val="0"/>
        <w:spacing w:after="0" w:line="480" w:lineRule="auto"/>
        <w:rPr>
          <w:rFonts w:ascii="Times New Roman" w:eastAsiaTheme="minorHAnsi" w:hAnsi="Times New Roman"/>
          <w:sz w:val="24"/>
          <w:szCs w:val="24"/>
        </w:rPr>
      </w:pPr>
    </w:p>
    <w:p w:rsidR="00DE3CCF" w:rsidRDefault="00DE3CCF" w:rsidP="006F08CD">
      <w:pPr>
        <w:autoSpaceDE w:val="0"/>
        <w:autoSpaceDN w:val="0"/>
        <w:adjustRightInd w:val="0"/>
        <w:spacing w:after="0" w:line="480" w:lineRule="auto"/>
        <w:rPr>
          <w:rFonts w:ascii="Times New Roman" w:eastAsiaTheme="minorHAnsi" w:hAnsi="Times New Roman"/>
          <w:sz w:val="24"/>
          <w:szCs w:val="24"/>
        </w:rPr>
      </w:pPr>
    </w:p>
    <w:p w:rsidR="00DE3CCF" w:rsidRDefault="00DE3CCF" w:rsidP="006F08CD">
      <w:pPr>
        <w:autoSpaceDE w:val="0"/>
        <w:autoSpaceDN w:val="0"/>
        <w:adjustRightInd w:val="0"/>
        <w:spacing w:after="0" w:line="480" w:lineRule="auto"/>
        <w:rPr>
          <w:rFonts w:ascii="Times New Roman" w:eastAsiaTheme="minorHAnsi" w:hAnsi="Times New Roman"/>
          <w:sz w:val="24"/>
          <w:szCs w:val="24"/>
        </w:rPr>
      </w:pPr>
    </w:p>
    <w:p w:rsidR="00DE3CCF" w:rsidRDefault="00DE3CCF" w:rsidP="006F08CD">
      <w:pPr>
        <w:autoSpaceDE w:val="0"/>
        <w:autoSpaceDN w:val="0"/>
        <w:adjustRightInd w:val="0"/>
        <w:spacing w:after="0" w:line="480" w:lineRule="auto"/>
        <w:rPr>
          <w:rFonts w:ascii="Times New Roman" w:eastAsiaTheme="minorHAnsi" w:hAnsi="Times New Roman"/>
          <w:sz w:val="24"/>
          <w:szCs w:val="24"/>
        </w:rPr>
      </w:pPr>
    </w:p>
    <w:p w:rsidR="006E6BA6" w:rsidRDefault="006E6BA6" w:rsidP="006F08CD">
      <w:pPr>
        <w:autoSpaceDE w:val="0"/>
        <w:autoSpaceDN w:val="0"/>
        <w:adjustRightInd w:val="0"/>
        <w:spacing w:after="0" w:line="480" w:lineRule="auto"/>
        <w:jc w:val="center"/>
        <w:rPr>
          <w:rFonts w:ascii="Times New Roman" w:eastAsiaTheme="minorHAnsi" w:hAnsi="Times New Roman"/>
          <w:sz w:val="24"/>
          <w:szCs w:val="24"/>
        </w:rPr>
      </w:pPr>
      <w:r>
        <w:rPr>
          <w:rFonts w:ascii="Times New Roman" w:eastAsiaTheme="minorHAnsi" w:hAnsi="Times New Roman"/>
          <w:sz w:val="24"/>
          <w:szCs w:val="24"/>
        </w:rPr>
        <w:t>III.</w:t>
      </w:r>
    </w:p>
    <w:p w:rsidR="006E6BA6" w:rsidRDefault="006E6BA6" w:rsidP="006F08CD">
      <w:pPr>
        <w:autoSpaceDE w:val="0"/>
        <w:autoSpaceDN w:val="0"/>
        <w:adjustRightInd w:val="0"/>
        <w:spacing w:after="0" w:line="480" w:lineRule="auto"/>
        <w:rPr>
          <w:rFonts w:ascii="Times New Roman" w:hAnsi="Times New Roman"/>
          <w:sz w:val="24"/>
          <w:szCs w:val="24"/>
        </w:rPr>
      </w:pPr>
      <w:r>
        <w:rPr>
          <w:rFonts w:ascii="Times New Roman" w:eastAsiaTheme="minorHAnsi" w:hAnsi="Times New Roman"/>
          <w:sz w:val="24"/>
          <w:szCs w:val="24"/>
        </w:rPr>
        <w:lastRenderedPageBreak/>
        <w:tab/>
      </w:r>
      <w:r w:rsidR="0028620E">
        <w:rPr>
          <w:rFonts w:ascii="Times New Roman" w:eastAsiaTheme="minorHAnsi" w:hAnsi="Times New Roman"/>
          <w:sz w:val="24"/>
          <w:szCs w:val="24"/>
        </w:rPr>
        <w:t xml:space="preserve">Courts have created non-statutory exceptions to the Rape Shield Statute.  </w:t>
      </w:r>
      <w:r w:rsidR="0028620E" w:rsidRPr="0028620E">
        <w:rPr>
          <w:rFonts w:ascii="Times New Roman" w:hAnsi="Times New Roman"/>
          <w:sz w:val="24"/>
          <w:szCs w:val="24"/>
        </w:rPr>
        <w:t xml:space="preserve">In </w:t>
      </w:r>
      <w:r w:rsidR="0028620E" w:rsidRPr="0028620E">
        <w:rPr>
          <w:rFonts w:ascii="Times New Roman" w:hAnsi="Times New Roman"/>
          <w:i/>
          <w:iCs/>
          <w:sz w:val="24"/>
          <w:szCs w:val="24"/>
        </w:rPr>
        <w:t>Johns v. State</w:t>
      </w:r>
      <w:r w:rsidR="0028620E" w:rsidRPr="0028620E">
        <w:rPr>
          <w:rFonts w:ascii="Times New Roman" w:hAnsi="Times New Roman"/>
          <w:sz w:val="24"/>
          <w:szCs w:val="24"/>
        </w:rPr>
        <w:t xml:space="preserve">, 253 Ga. App. 207(3) (2001), the court held that evidence that the victim previously accused someone other than the defendant of sexual misconduct is admissible under certain limited circumstances, including: (1) to show that someone other than the defendant caused the </w:t>
      </w:r>
      <w:r w:rsidR="0028620E" w:rsidRPr="006F08CD">
        <w:rPr>
          <w:rFonts w:ascii="Times New Roman" w:hAnsi="Times New Roman"/>
          <w:bCs/>
          <w:sz w:val="24"/>
          <w:szCs w:val="24"/>
        </w:rPr>
        <w:t>victim's injuries</w:t>
      </w:r>
      <w:r w:rsidR="006F08CD">
        <w:rPr>
          <w:rStyle w:val="FootnoteReference"/>
          <w:rFonts w:ascii="Times New Roman" w:hAnsi="Times New Roman"/>
          <w:bCs/>
          <w:sz w:val="24"/>
          <w:szCs w:val="24"/>
        </w:rPr>
        <w:footnoteReference w:id="1"/>
      </w:r>
      <w:r w:rsidR="0028620E" w:rsidRPr="0028620E">
        <w:rPr>
          <w:rFonts w:ascii="Times New Roman" w:hAnsi="Times New Roman"/>
          <w:sz w:val="24"/>
          <w:szCs w:val="24"/>
        </w:rPr>
        <w:t xml:space="preserve">; (2) to show that the victim lacks credibility if the </w:t>
      </w:r>
      <w:r w:rsidR="0028620E" w:rsidRPr="006F08CD">
        <w:rPr>
          <w:rFonts w:ascii="Times New Roman" w:hAnsi="Times New Roman"/>
          <w:bCs/>
          <w:sz w:val="24"/>
          <w:szCs w:val="24"/>
        </w:rPr>
        <w:t xml:space="preserve">victim's prior allegations were </w:t>
      </w:r>
      <w:r w:rsidR="0028620E" w:rsidRPr="006F08CD">
        <w:rPr>
          <w:rFonts w:ascii="Times New Roman" w:hAnsi="Times New Roman"/>
          <w:b/>
          <w:bCs/>
          <w:i/>
          <w:sz w:val="24"/>
          <w:szCs w:val="24"/>
        </w:rPr>
        <w:t>false</w:t>
      </w:r>
      <w:r w:rsidR="0028620E" w:rsidRPr="0028620E">
        <w:rPr>
          <w:rFonts w:ascii="Times New Roman" w:hAnsi="Times New Roman"/>
          <w:sz w:val="24"/>
          <w:szCs w:val="24"/>
        </w:rPr>
        <w:t xml:space="preserve">; and (3) to show other possible causes for the </w:t>
      </w:r>
      <w:r w:rsidR="0028620E" w:rsidRPr="006F08CD">
        <w:rPr>
          <w:rFonts w:ascii="Times New Roman" w:hAnsi="Times New Roman"/>
          <w:bCs/>
          <w:sz w:val="24"/>
          <w:szCs w:val="24"/>
        </w:rPr>
        <w:t>victim's symptoms</w:t>
      </w:r>
      <w:r w:rsidR="0028620E" w:rsidRPr="0028620E">
        <w:rPr>
          <w:rFonts w:ascii="Times New Roman" w:hAnsi="Times New Roman"/>
          <w:sz w:val="24"/>
          <w:szCs w:val="24"/>
        </w:rPr>
        <w:t xml:space="preserve">. </w:t>
      </w:r>
      <w:r w:rsidR="006F08CD">
        <w:rPr>
          <w:rFonts w:ascii="Times New Roman" w:hAnsi="Times New Roman"/>
          <w:sz w:val="24"/>
          <w:szCs w:val="24"/>
        </w:rPr>
        <w:t xml:space="preserve">As there are no injuries or symptoms present in the instant case, the only remaining argument would be that of prior false allegation.  While it is true that the </w:t>
      </w:r>
      <w:r w:rsidRPr="006E6BA6">
        <w:rPr>
          <w:rFonts w:ascii="Times New Roman" w:hAnsi="Times New Roman"/>
          <w:sz w:val="24"/>
          <w:szCs w:val="24"/>
        </w:rPr>
        <w:t>Rape Shield Statute does not prohibit testimony regarding prior false allegations of child molestation made by the child victim</w:t>
      </w:r>
      <w:proofErr w:type="gramStart"/>
      <w:r w:rsidR="006F08CD">
        <w:rPr>
          <w:rFonts w:ascii="Times New Roman" w:hAnsi="Times New Roman"/>
          <w:sz w:val="24"/>
          <w:szCs w:val="24"/>
        </w:rPr>
        <w:t>,</w:t>
      </w:r>
      <w:r w:rsidRPr="006E6BA6">
        <w:rPr>
          <w:rFonts w:ascii="Times New Roman" w:hAnsi="Times New Roman"/>
          <w:sz w:val="24"/>
          <w:szCs w:val="24"/>
        </w:rPr>
        <w:t xml:space="preserve">  </w:t>
      </w:r>
      <w:r w:rsidRPr="006E6BA6">
        <w:rPr>
          <w:rFonts w:ascii="Times New Roman" w:hAnsi="Times New Roman"/>
          <w:i/>
          <w:sz w:val="24"/>
          <w:szCs w:val="24"/>
        </w:rPr>
        <w:t>Osborne</w:t>
      </w:r>
      <w:proofErr w:type="gramEnd"/>
      <w:r w:rsidRPr="006E6BA6">
        <w:rPr>
          <w:rFonts w:ascii="Times New Roman" w:hAnsi="Times New Roman"/>
          <w:i/>
          <w:sz w:val="24"/>
          <w:szCs w:val="24"/>
        </w:rPr>
        <w:t xml:space="preserve"> v. State</w:t>
      </w:r>
      <w:r w:rsidRPr="006E6BA6">
        <w:rPr>
          <w:rFonts w:ascii="Times New Roman" w:hAnsi="Times New Roman"/>
          <w:sz w:val="24"/>
          <w:szCs w:val="24"/>
        </w:rPr>
        <w:t xml:space="preserve">, 291 Ga. App. 711(2) (2008); </w:t>
      </w:r>
      <w:r w:rsidRPr="006E6BA6">
        <w:rPr>
          <w:rFonts w:ascii="Times New Roman" w:hAnsi="Times New Roman"/>
          <w:i/>
          <w:sz w:val="24"/>
          <w:szCs w:val="24"/>
        </w:rPr>
        <w:t>Benton v. State</w:t>
      </w:r>
      <w:r w:rsidRPr="006E6BA6">
        <w:rPr>
          <w:rFonts w:ascii="Times New Roman" w:hAnsi="Times New Roman"/>
          <w:sz w:val="24"/>
          <w:szCs w:val="24"/>
        </w:rPr>
        <w:t>, 265 Ga. 648(5) (1995)</w:t>
      </w:r>
      <w:r w:rsidR="006F08CD">
        <w:rPr>
          <w:rFonts w:ascii="Times New Roman" w:hAnsi="Times New Roman"/>
          <w:sz w:val="24"/>
          <w:szCs w:val="24"/>
        </w:rPr>
        <w:t>,</w:t>
      </w:r>
      <w:r w:rsidRPr="006E6BA6">
        <w:rPr>
          <w:rFonts w:ascii="Times New Roman" w:hAnsi="Times New Roman"/>
          <w:sz w:val="24"/>
          <w:szCs w:val="24"/>
        </w:rPr>
        <w:t xml:space="preserve"> </w:t>
      </w:r>
      <w:r w:rsidR="006F08CD">
        <w:rPr>
          <w:rFonts w:ascii="Times New Roman" w:hAnsi="Times New Roman"/>
          <w:sz w:val="24"/>
          <w:szCs w:val="24"/>
        </w:rPr>
        <w:t>b</w:t>
      </w:r>
      <w:r w:rsidRPr="006E6BA6">
        <w:rPr>
          <w:rFonts w:ascii="Times New Roman" w:hAnsi="Times New Roman"/>
          <w:sz w:val="24"/>
          <w:szCs w:val="24"/>
        </w:rPr>
        <w:t xml:space="preserve">efore such evidence may be admitted, the court must make a threshold determination outside the presence of the jury that a </w:t>
      </w:r>
      <w:r w:rsidRPr="00B90AA2">
        <w:rPr>
          <w:rFonts w:ascii="Times New Roman" w:hAnsi="Times New Roman"/>
          <w:i/>
          <w:sz w:val="24"/>
          <w:szCs w:val="24"/>
        </w:rPr>
        <w:t>reasonable probability</w:t>
      </w:r>
      <w:r w:rsidRPr="006E6BA6">
        <w:rPr>
          <w:rFonts w:ascii="Times New Roman" w:hAnsi="Times New Roman"/>
          <w:sz w:val="24"/>
          <w:szCs w:val="24"/>
        </w:rPr>
        <w:t xml:space="preserve"> of falsity exists.  </w:t>
      </w:r>
    </w:p>
    <w:p w:rsidR="006E6BA6" w:rsidRDefault="006E6BA6" w:rsidP="006F08CD">
      <w:pPr>
        <w:spacing w:before="240" w:line="480" w:lineRule="auto"/>
        <w:rPr>
          <w:rFonts w:ascii="Times New Roman" w:hAnsi="Times New Roman"/>
          <w:sz w:val="24"/>
          <w:szCs w:val="24"/>
        </w:rPr>
      </w:pPr>
      <w:r>
        <w:rPr>
          <w:rFonts w:ascii="Times New Roman" w:hAnsi="Times New Roman"/>
          <w:sz w:val="24"/>
          <w:szCs w:val="24"/>
        </w:rPr>
        <w:tab/>
      </w:r>
      <w:r w:rsidRPr="006E6BA6">
        <w:rPr>
          <w:rFonts w:ascii="Times New Roman" w:hAnsi="Times New Roman"/>
          <w:sz w:val="24"/>
          <w:szCs w:val="24"/>
        </w:rPr>
        <w:t xml:space="preserve">A “reasonable probability” is a probability sufficient to undermine confidence in the outcome.  </w:t>
      </w:r>
      <w:r w:rsidRPr="006E6BA6">
        <w:rPr>
          <w:rFonts w:ascii="Times New Roman" w:hAnsi="Times New Roman"/>
          <w:i/>
          <w:sz w:val="24"/>
          <w:szCs w:val="24"/>
        </w:rPr>
        <w:t>Strickland v. State</w:t>
      </w:r>
      <w:r w:rsidRPr="006E6BA6">
        <w:rPr>
          <w:rFonts w:ascii="Times New Roman" w:hAnsi="Times New Roman"/>
          <w:sz w:val="24"/>
          <w:szCs w:val="24"/>
        </w:rPr>
        <w:t xml:space="preserve">, 205 Ga. App. 473 (1992).  The </w:t>
      </w:r>
      <w:r w:rsidRPr="006E6BA6">
        <w:rPr>
          <w:rFonts w:ascii="Times New Roman" w:hAnsi="Times New Roman"/>
          <w:b/>
          <w:bCs/>
          <w:sz w:val="24"/>
          <w:szCs w:val="24"/>
        </w:rPr>
        <w:t>defendant has the burden of proof</w:t>
      </w:r>
      <w:r w:rsidRPr="006E6BA6">
        <w:rPr>
          <w:rFonts w:ascii="Times New Roman" w:hAnsi="Times New Roman"/>
          <w:sz w:val="24"/>
          <w:szCs w:val="24"/>
        </w:rPr>
        <w:t xml:space="preserve"> in coming forward with evidence sufficient to establish a “reasonable probability of falsity.</w:t>
      </w:r>
      <w:r w:rsidR="00B90AA2">
        <w:rPr>
          <w:rFonts w:ascii="Times New Roman" w:hAnsi="Times New Roman"/>
          <w:sz w:val="24"/>
          <w:szCs w:val="24"/>
        </w:rPr>
        <w:t>”</w:t>
      </w:r>
      <w:r w:rsidRPr="006E6BA6">
        <w:rPr>
          <w:rFonts w:ascii="Times New Roman" w:hAnsi="Times New Roman"/>
          <w:sz w:val="24"/>
          <w:szCs w:val="24"/>
        </w:rPr>
        <w:t xml:space="preserve"> </w:t>
      </w:r>
      <w:r w:rsidRPr="006E6BA6">
        <w:rPr>
          <w:rFonts w:ascii="Times New Roman" w:hAnsi="Times New Roman"/>
          <w:i/>
          <w:iCs/>
          <w:sz w:val="24"/>
          <w:szCs w:val="24"/>
        </w:rPr>
        <w:t>Williams v. State</w:t>
      </w:r>
      <w:r w:rsidRPr="006E6BA6">
        <w:rPr>
          <w:rFonts w:ascii="Times New Roman" w:hAnsi="Times New Roman"/>
          <w:sz w:val="24"/>
          <w:szCs w:val="24"/>
        </w:rPr>
        <w:t>, 266 Ga. App. 578, 580(1) (2004).</w:t>
      </w:r>
      <w:r>
        <w:rPr>
          <w:rFonts w:ascii="Times New Roman" w:hAnsi="Times New Roman"/>
          <w:sz w:val="24"/>
          <w:szCs w:val="24"/>
        </w:rPr>
        <w:t xml:space="preserve">  </w:t>
      </w:r>
      <w:r w:rsidR="0028620E" w:rsidRPr="0028620E">
        <w:rPr>
          <w:rFonts w:ascii="Times New Roman" w:hAnsi="Times New Roman"/>
          <w:sz w:val="24"/>
          <w:szCs w:val="24"/>
        </w:rPr>
        <w:t xml:space="preserve">The </w:t>
      </w:r>
      <w:r w:rsidR="0028620E" w:rsidRPr="0028620E">
        <w:rPr>
          <w:rFonts w:ascii="Times New Roman" w:hAnsi="Times New Roman"/>
          <w:bCs/>
          <w:sz w:val="24"/>
          <w:szCs w:val="24"/>
        </w:rPr>
        <w:t>mere denial</w:t>
      </w:r>
      <w:r w:rsidR="0028620E" w:rsidRPr="0028620E">
        <w:rPr>
          <w:rFonts w:ascii="Times New Roman" w:hAnsi="Times New Roman"/>
          <w:sz w:val="24"/>
          <w:szCs w:val="24"/>
        </w:rPr>
        <w:t xml:space="preserve"> by the person who was allegedly accused falsely, without more, will generally not suffice, for “the fact that an accused states that the accusation against him is false is hardly evidence sufficient to raise a reasonable probability of falsity.” </w:t>
      </w:r>
      <w:r w:rsidR="0028620E" w:rsidRPr="0028620E">
        <w:rPr>
          <w:rFonts w:ascii="Times New Roman" w:hAnsi="Times New Roman"/>
          <w:i/>
          <w:iCs/>
          <w:sz w:val="24"/>
          <w:szCs w:val="24"/>
        </w:rPr>
        <w:t>Williams v. State</w:t>
      </w:r>
      <w:r w:rsidR="0028620E" w:rsidRPr="0028620E">
        <w:rPr>
          <w:rFonts w:ascii="Times New Roman" w:hAnsi="Times New Roman"/>
          <w:sz w:val="24"/>
          <w:szCs w:val="24"/>
        </w:rPr>
        <w:t xml:space="preserve">, 266 Ga. App. 578(1) (2004); </w:t>
      </w:r>
      <w:r w:rsidR="0028620E" w:rsidRPr="0028620E">
        <w:rPr>
          <w:rFonts w:ascii="Times New Roman" w:hAnsi="Times New Roman"/>
          <w:i/>
          <w:iCs/>
          <w:sz w:val="24"/>
          <w:szCs w:val="24"/>
        </w:rPr>
        <w:t>Kelley v. State</w:t>
      </w:r>
      <w:r w:rsidR="0028620E" w:rsidRPr="0028620E">
        <w:rPr>
          <w:rFonts w:ascii="Times New Roman" w:hAnsi="Times New Roman"/>
          <w:sz w:val="24"/>
          <w:szCs w:val="24"/>
        </w:rPr>
        <w:t>, 233 Ga. App. 244(5) (1998).</w:t>
      </w:r>
      <w:r w:rsidR="0028620E">
        <w:rPr>
          <w:rFonts w:ascii="Times New Roman" w:hAnsi="Times New Roman"/>
          <w:sz w:val="24"/>
          <w:szCs w:val="24"/>
        </w:rPr>
        <w:t xml:space="preserve">  </w:t>
      </w:r>
      <w:r w:rsidR="0028620E" w:rsidRPr="0028620E">
        <w:rPr>
          <w:rFonts w:ascii="Times New Roman" w:hAnsi="Times New Roman"/>
          <w:sz w:val="24"/>
          <w:szCs w:val="24"/>
        </w:rPr>
        <w:t xml:space="preserve">The fact that the </w:t>
      </w:r>
      <w:r w:rsidR="0028620E" w:rsidRPr="0028620E">
        <w:rPr>
          <w:rFonts w:ascii="Times New Roman" w:hAnsi="Times New Roman"/>
          <w:bCs/>
          <w:sz w:val="24"/>
          <w:szCs w:val="24"/>
        </w:rPr>
        <w:t xml:space="preserve">person previously accused has never been </w:t>
      </w:r>
      <w:r w:rsidR="0028620E" w:rsidRPr="0028620E">
        <w:rPr>
          <w:rFonts w:ascii="Times New Roman" w:hAnsi="Times New Roman"/>
          <w:bCs/>
          <w:sz w:val="24"/>
          <w:szCs w:val="24"/>
        </w:rPr>
        <w:lastRenderedPageBreak/>
        <w:t>prosecuted</w:t>
      </w:r>
      <w:r w:rsidR="0028620E" w:rsidRPr="0028620E">
        <w:rPr>
          <w:rFonts w:ascii="Times New Roman" w:hAnsi="Times New Roman"/>
          <w:sz w:val="24"/>
          <w:szCs w:val="24"/>
        </w:rPr>
        <w:t xml:space="preserve"> is insufficient to establish the reasonable probability of falsity. </w:t>
      </w:r>
      <w:r w:rsidR="0028620E" w:rsidRPr="0028620E">
        <w:rPr>
          <w:rFonts w:ascii="Times New Roman" w:hAnsi="Times New Roman"/>
          <w:i/>
          <w:iCs/>
          <w:sz w:val="24"/>
          <w:szCs w:val="24"/>
        </w:rPr>
        <w:t>Williams v. State</w:t>
      </w:r>
      <w:r w:rsidR="0028620E" w:rsidRPr="0028620E">
        <w:rPr>
          <w:rFonts w:ascii="Times New Roman" w:hAnsi="Times New Roman"/>
          <w:sz w:val="24"/>
          <w:szCs w:val="24"/>
        </w:rPr>
        <w:t>, 266 Ga. App. 578, 581 (2004)</w:t>
      </w:r>
      <w:r w:rsidR="0028620E" w:rsidRPr="0028620E">
        <w:rPr>
          <w:rFonts w:ascii="Times New Roman" w:hAnsi="Times New Roman"/>
          <w:i/>
          <w:iCs/>
          <w:sz w:val="24"/>
          <w:szCs w:val="24"/>
        </w:rPr>
        <w:t>.</w:t>
      </w:r>
      <w:r w:rsidR="0028620E">
        <w:rPr>
          <w:rFonts w:ascii="Times New Roman" w:hAnsi="Times New Roman"/>
          <w:i/>
          <w:iCs/>
          <w:sz w:val="24"/>
          <w:szCs w:val="24"/>
        </w:rPr>
        <w:t xml:space="preserve">  </w:t>
      </w:r>
      <w:r w:rsidR="00FF6F62">
        <w:rPr>
          <w:rFonts w:ascii="Times New Roman" w:hAnsi="Times New Roman"/>
          <w:iCs/>
          <w:sz w:val="24"/>
          <w:szCs w:val="24"/>
        </w:rPr>
        <w:t>Even</w:t>
      </w:r>
      <w:r w:rsidR="00FF6F62" w:rsidRPr="00FF6F62">
        <w:rPr>
          <w:rFonts w:ascii="Times New Roman" w:hAnsi="Times New Roman"/>
          <w:sz w:val="24"/>
          <w:szCs w:val="24"/>
        </w:rPr>
        <w:t xml:space="preserve"> </w:t>
      </w:r>
      <w:r w:rsidR="00FF6F62">
        <w:rPr>
          <w:rFonts w:ascii="Times New Roman" w:hAnsi="Times New Roman"/>
          <w:sz w:val="24"/>
          <w:szCs w:val="24"/>
        </w:rPr>
        <w:t>a</w:t>
      </w:r>
      <w:r w:rsidR="00FF6F62" w:rsidRPr="00FF6F62">
        <w:rPr>
          <w:rFonts w:ascii="Times New Roman" w:hAnsi="Times New Roman"/>
          <w:sz w:val="24"/>
          <w:szCs w:val="24"/>
        </w:rPr>
        <w:t xml:space="preserve"> child’s recantation of a prior allegation of sexual abuse does not in itself establish a reasonable probability of fal</w:t>
      </w:r>
      <w:r w:rsidR="00FF6F62">
        <w:rPr>
          <w:rFonts w:ascii="Times New Roman" w:hAnsi="Times New Roman"/>
          <w:sz w:val="24"/>
          <w:szCs w:val="24"/>
        </w:rPr>
        <w:t>sity</w:t>
      </w:r>
      <w:r w:rsidR="001A725D">
        <w:rPr>
          <w:rFonts w:ascii="Times New Roman" w:hAnsi="Times New Roman"/>
          <w:sz w:val="24"/>
          <w:szCs w:val="24"/>
        </w:rPr>
        <w:t xml:space="preserve">.  </w:t>
      </w:r>
      <w:proofErr w:type="gramStart"/>
      <w:r w:rsidR="00FF6F62" w:rsidRPr="00FF6F62">
        <w:rPr>
          <w:rFonts w:ascii="Times New Roman" w:hAnsi="Times New Roman"/>
          <w:i/>
          <w:color w:val="000000"/>
          <w:sz w:val="24"/>
          <w:szCs w:val="24"/>
        </w:rPr>
        <w:t>Clements v. State</w:t>
      </w:r>
      <w:r w:rsidR="00FF6F62" w:rsidRPr="00FF6F62">
        <w:rPr>
          <w:rFonts w:ascii="Times New Roman" w:hAnsi="Times New Roman"/>
          <w:color w:val="000000"/>
          <w:sz w:val="24"/>
          <w:szCs w:val="24"/>
        </w:rPr>
        <w:t>, 279 Ga. App. 773(2) (2006).</w:t>
      </w:r>
      <w:proofErr w:type="gramEnd"/>
      <w:r w:rsidR="00FF6F62" w:rsidRPr="00FF6F62">
        <w:rPr>
          <w:rFonts w:ascii="Times New Roman" w:hAnsi="Times New Roman"/>
          <w:color w:val="000000"/>
          <w:sz w:val="24"/>
          <w:szCs w:val="24"/>
        </w:rPr>
        <w:t xml:space="preserve"> </w:t>
      </w:r>
      <w:r w:rsidR="00FF6F62">
        <w:rPr>
          <w:rFonts w:ascii="Times New Roman" w:hAnsi="Times New Roman"/>
          <w:iCs/>
          <w:sz w:val="24"/>
          <w:szCs w:val="24"/>
        </w:rPr>
        <w:t xml:space="preserve"> </w:t>
      </w:r>
      <w:r w:rsidR="0028620E" w:rsidRPr="0028620E">
        <w:rPr>
          <w:rFonts w:ascii="Times New Roman" w:hAnsi="Times New Roman"/>
          <w:sz w:val="24"/>
          <w:szCs w:val="24"/>
        </w:rPr>
        <w:t xml:space="preserve">A trial court’s ruling upon the admissibility of such evidence will not be overturned absent an </w:t>
      </w:r>
      <w:r w:rsidR="0028620E" w:rsidRPr="0028620E">
        <w:rPr>
          <w:rFonts w:ascii="Times New Roman" w:hAnsi="Times New Roman"/>
          <w:bCs/>
          <w:sz w:val="24"/>
          <w:szCs w:val="24"/>
        </w:rPr>
        <w:t>abuse of discretion</w:t>
      </w:r>
      <w:r w:rsidR="0028620E" w:rsidRPr="0028620E">
        <w:rPr>
          <w:rFonts w:ascii="Times New Roman" w:hAnsi="Times New Roman"/>
          <w:sz w:val="24"/>
          <w:szCs w:val="24"/>
        </w:rPr>
        <w:t xml:space="preserve">. </w:t>
      </w:r>
      <w:r w:rsidR="0028620E" w:rsidRPr="0028620E">
        <w:rPr>
          <w:rFonts w:ascii="Times New Roman" w:hAnsi="Times New Roman"/>
          <w:i/>
          <w:iCs/>
          <w:sz w:val="24"/>
          <w:szCs w:val="24"/>
        </w:rPr>
        <w:t>Eley v. State</w:t>
      </w:r>
      <w:r w:rsidR="0028620E" w:rsidRPr="0028620E">
        <w:rPr>
          <w:rFonts w:ascii="Times New Roman" w:hAnsi="Times New Roman"/>
          <w:sz w:val="24"/>
          <w:szCs w:val="24"/>
        </w:rPr>
        <w:t>, 266 Ga. App. 45(1) (2004)</w:t>
      </w:r>
      <w:r w:rsidR="0028620E">
        <w:rPr>
          <w:rFonts w:ascii="Times New Roman" w:hAnsi="Times New Roman"/>
          <w:sz w:val="24"/>
          <w:szCs w:val="24"/>
        </w:rPr>
        <w:t>.</w:t>
      </w:r>
    </w:p>
    <w:p w:rsidR="0028620E" w:rsidRDefault="0028620E" w:rsidP="006F08CD">
      <w:pPr>
        <w:spacing w:before="240" w:line="480" w:lineRule="auto"/>
        <w:rPr>
          <w:rFonts w:ascii="Times New Roman" w:hAnsi="Times New Roman"/>
          <w:sz w:val="24"/>
          <w:szCs w:val="24"/>
        </w:rPr>
      </w:pPr>
      <w:r>
        <w:rPr>
          <w:rFonts w:ascii="Times New Roman" w:hAnsi="Times New Roman"/>
          <w:sz w:val="24"/>
          <w:szCs w:val="24"/>
        </w:rPr>
        <w:tab/>
        <w:t xml:space="preserve">In the instant case, the State does not anticipate that the defendant will be able to provide any evidence that the prior accusation was false, let alone evidence to establish a reasonable probability sufficient to undermine confidence in the outcome.  Therefore, </w:t>
      </w:r>
      <w:r w:rsidR="006F08CD">
        <w:rPr>
          <w:rFonts w:ascii="Times New Roman" w:hAnsi="Times New Roman"/>
          <w:sz w:val="24"/>
          <w:szCs w:val="24"/>
        </w:rPr>
        <w:t>any evidence regarding the allegation against Reggie should not be deemed permissible pursuant to this argument.</w:t>
      </w:r>
    </w:p>
    <w:p w:rsidR="006F08CD" w:rsidRDefault="006F08CD" w:rsidP="006F08CD">
      <w:pPr>
        <w:spacing w:before="240" w:line="480" w:lineRule="auto"/>
        <w:jc w:val="center"/>
        <w:rPr>
          <w:rFonts w:ascii="Times New Roman" w:hAnsi="Times New Roman"/>
          <w:sz w:val="24"/>
          <w:szCs w:val="24"/>
        </w:rPr>
      </w:pPr>
      <w:r>
        <w:rPr>
          <w:rFonts w:ascii="Times New Roman" w:hAnsi="Times New Roman"/>
          <w:sz w:val="24"/>
          <w:szCs w:val="24"/>
        </w:rPr>
        <w:t>IV.</w:t>
      </w:r>
    </w:p>
    <w:p w:rsidR="00FF6F62" w:rsidRDefault="00FF6F62" w:rsidP="00FF6F62">
      <w:pPr>
        <w:spacing w:before="240" w:line="480" w:lineRule="auto"/>
        <w:rPr>
          <w:rFonts w:ascii="Times New Roman" w:hAnsi="Times New Roman"/>
          <w:sz w:val="24"/>
          <w:szCs w:val="24"/>
        </w:rPr>
      </w:pPr>
      <w:r>
        <w:rPr>
          <w:rFonts w:ascii="Times New Roman" w:hAnsi="Times New Roman"/>
          <w:sz w:val="24"/>
          <w:szCs w:val="24"/>
        </w:rPr>
        <w:tab/>
        <w:t xml:space="preserve">The defense should also not be permitted to admit the evidence to insinuate that another person committed the crimes against the victim.  </w:t>
      </w:r>
      <w:r w:rsidRPr="00FF6F62">
        <w:rPr>
          <w:rFonts w:ascii="Times New Roman" w:hAnsi="Times New Roman"/>
          <w:sz w:val="24"/>
          <w:szCs w:val="24"/>
        </w:rPr>
        <w:t xml:space="preserve">Generally, an accused may introduce evidence tending to show that </w:t>
      </w:r>
      <w:r w:rsidRPr="00FF6F62">
        <w:rPr>
          <w:rFonts w:ascii="Times New Roman" w:hAnsi="Times New Roman"/>
          <w:bCs/>
          <w:sz w:val="24"/>
          <w:szCs w:val="24"/>
        </w:rPr>
        <w:t>another person committed the crime</w:t>
      </w:r>
      <w:r w:rsidRPr="00FF6F62">
        <w:rPr>
          <w:rFonts w:ascii="Times New Roman" w:hAnsi="Times New Roman"/>
          <w:sz w:val="24"/>
          <w:szCs w:val="24"/>
        </w:rPr>
        <w:t xml:space="preserve"> with which he is charged. This evidence must be shown to be inconsistent with his own guilt and must raise a reasonable inference or presumption as to his own innocence. It must directly connect the other person with the crime. Evidence which can have no other effect than to cast a </w:t>
      </w:r>
      <w:r w:rsidRPr="00FF6F62">
        <w:rPr>
          <w:rFonts w:ascii="Times New Roman" w:hAnsi="Times New Roman"/>
          <w:bCs/>
          <w:sz w:val="24"/>
          <w:szCs w:val="24"/>
        </w:rPr>
        <w:t>bare suspicion</w:t>
      </w:r>
      <w:r w:rsidRPr="00FF6F62">
        <w:rPr>
          <w:rFonts w:ascii="Times New Roman" w:hAnsi="Times New Roman"/>
          <w:sz w:val="24"/>
          <w:szCs w:val="24"/>
        </w:rPr>
        <w:t xml:space="preserve"> </w:t>
      </w:r>
      <w:r w:rsidRPr="00FF6F62">
        <w:rPr>
          <w:rFonts w:ascii="Times New Roman" w:hAnsi="Times New Roman"/>
          <w:bCs/>
          <w:sz w:val="24"/>
          <w:szCs w:val="24"/>
        </w:rPr>
        <w:t>on another</w:t>
      </w:r>
      <w:r w:rsidRPr="00FF6F62">
        <w:rPr>
          <w:rFonts w:ascii="Times New Roman" w:hAnsi="Times New Roman"/>
          <w:sz w:val="24"/>
          <w:szCs w:val="24"/>
        </w:rPr>
        <w:t xml:space="preserve">, or to raise a conjectural inference as to the commission of the crime by another, is not admissible. </w:t>
      </w:r>
      <w:r w:rsidRPr="00FF6F62">
        <w:rPr>
          <w:rFonts w:ascii="Times New Roman" w:hAnsi="Times New Roman"/>
          <w:i/>
          <w:iCs/>
          <w:sz w:val="24"/>
          <w:szCs w:val="24"/>
        </w:rPr>
        <w:t>Hanson v. State</w:t>
      </w:r>
      <w:r w:rsidRPr="00FF6F62">
        <w:rPr>
          <w:rFonts w:ascii="Times New Roman" w:hAnsi="Times New Roman"/>
          <w:sz w:val="24"/>
          <w:szCs w:val="24"/>
        </w:rPr>
        <w:t xml:space="preserve">, 263 Ga. App. 45, 47 (2003); </w:t>
      </w:r>
      <w:r w:rsidRPr="00FF6F62">
        <w:rPr>
          <w:rFonts w:ascii="Times New Roman" w:hAnsi="Times New Roman"/>
          <w:i/>
          <w:iCs/>
          <w:sz w:val="24"/>
          <w:szCs w:val="24"/>
        </w:rPr>
        <w:t>Croom v. State</w:t>
      </w:r>
      <w:r w:rsidRPr="00FF6F62">
        <w:rPr>
          <w:rFonts w:ascii="Times New Roman" w:hAnsi="Times New Roman"/>
          <w:sz w:val="24"/>
          <w:szCs w:val="24"/>
        </w:rPr>
        <w:t>, 217 Ga. App. 596, 599 (1995).</w:t>
      </w:r>
      <w:r>
        <w:rPr>
          <w:rFonts w:ascii="Times New Roman" w:hAnsi="Times New Roman"/>
          <w:sz w:val="24"/>
          <w:szCs w:val="24"/>
        </w:rPr>
        <w:t xml:space="preserve">   Additionally, s</w:t>
      </w:r>
      <w:r w:rsidRPr="00FF6F62">
        <w:rPr>
          <w:rFonts w:ascii="Times New Roman" w:hAnsi="Times New Roman"/>
          <w:sz w:val="24"/>
          <w:szCs w:val="24"/>
        </w:rPr>
        <w:t xml:space="preserve">uch </w:t>
      </w:r>
      <w:r>
        <w:rPr>
          <w:rFonts w:ascii="Times New Roman" w:hAnsi="Times New Roman"/>
          <w:sz w:val="24"/>
          <w:szCs w:val="24"/>
        </w:rPr>
        <w:t xml:space="preserve">evidence will not be permitted </w:t>
      </w:r>
      <w:r w:rsidRPr="00FF6F62">
        <w:rPr>
          <w:rFonts w:ascii="Times New Roman" w:hAnsi="Times New Roman"/>
          <w:sz w:val="24"/>
          <w:szCs w:val="24"/>
        </w:rPr>
        <w:t xml:space="preserve">merely to suggest that the child victim might be </w:t>
      </w:r>
      <w:r w:rsidRPr="00FF6F62">
        <w:rPr>
          <w:rFonts w:ascii="Times New Roman" w:hAnsi="Times New Roman"/>
          <w:bCs/>
          <w:sz w:val="24"/>
          <w:szCs w:val="24"/>
        </w:rPr>
        <w:t>confused as to the identity of the perpetrator</w:t>
      </w:r>
      <w:r w:rsidRPr="00FF6F62">
        <w:rPr>
          <w:rFonts w:ascii="Times New Roman" w:hAnsi="Times New Roman"/>
          <w:sz w:val="24"/>
          <w:szCs w:val="24"/>
        </w:rPr>
        <w:t xml:space="preserve">.  </w:t>
      </w:r>
      <w:r w:rsidRPr="00FF6F62">
        <w:rPr>
          <w:rFonts w:ascii="Times New Roman" w:hAnsi="Times New Roman"/>
          <w:i/>
          <w:iCs/>
          <w:sz w:val="24"/>
          <w:szCs w:val="24"/>
        </w:rPr>
        <w:t>Wilt v. State</w:t>
      </w:r>
      <w:r w:rsidRPr="00FF6F62">
        <w:rPr>
          <w:rFonts w:ascii="Times New Roman" w:hAnsi="Times New Roman"/>
          <w:sz w:val="24"/>
          <w:szCs w:val="24"/>
        </w:rPr>
        <w:t xml:space="preserve">, 265 Ga. App. 158(3) (2004); </w:t>
      </w:r>
      <w:r w:rsidRPr="00FF6F62">
        <w:rPr>
          <w:rFonts w:ascii="Times New Roman" w:hAnsi="Times New Roman"/>
          <w:i/>
          <w:sz w:val="24"/>
          <w:szCs w:val="24"/>
        </w:rPr>
        <w:t>Blackwell v. State</w:t>
      </w:r>
      <w:r w:rsidRPr="00FF6F62">
        <w:rPr>
          <w:rFonts w:ascii="Times New Roman" w:hAnsi="Times New Roman"/>
          <w:sz w:val="24"/>
          <w:szCs w:val="24"/>
        </w:rPr>
        <w:t xml:space="preserve">, 229 Ga. App. 452, 454 (1997). </w:t>
      </w:r>
    </w:p>
    <w:p w:rsidR="00D04607" w:rsidRDefault="00FF6F62" w:rsidP="00FF6F62">
      <w:pPr>
        <w:spacing w:before="240" w:line="480" w:lineRule="auto"/>
        <w:rPr>
          <w:rFonts w:ascii="Times New Roman" w:hAnsi="Times New Roman"/>
          <w:sz w:val="24"/>
          <w:szCs w:val="24"/>
        </w:rPr>
      </w:pPr>
      <w:r>
        <w:rPr>
          <w:rFonts w:ascii="Times New Roman" w:hAnsi="Times New Roman"/>
          <w:sz w:val="24"/>
          <w:szCs w:val="24"/>
        </w:rPr>
        <w:lastRenderedPageBreak/>
        <w:tab/>
      </w:r>
      <w:r w:rsidR="00D04607">
        <w:rPr>
          <w:rFonts w:ascii="Times New Roman" w:hAnsi="Times New Roman"/>
          <w:sz w:val="24"/>
          <w:szCs w:val="24"/>
        </w:rPr>
        <w:tab/>
      </w:r>
      <w:r w:rsidR="00D04607" w:rsidRPr="00DE3CCF">
        <w:rPr>
          <w:rFonts w:ascii="Times New Roman" w:hAnsi="Times New Roman"/>
          <w:b/>
          <w:sz w:val="24"/>
          <w:szCs w:val="24"/>
        </w:rPr>
        <w:t>WHEREFORE</w:t>
      </w:r>
      <w:r w:rsidR="00D04607">
        <w:rPr>
          <w:rFonts w:ascii="Times New Roman" w:hAnsi="Times New Roman"/>
          <w:sz w:val="24"/>
          <w:szCs w:val="24"/>
        </w:rPr>
        <w:t xml:space="preserve">, the State hereby requests that the Court enter an order in limine preventing the defense from introducing any evidence of alleged sexual abuse against the victim by Reggie, </w:t>
      </w:r>
      <w:r w:rsidR="00D3269C">
        <w:rPr>
          <w:rFonts w:ascii="Times New Roman" w:hAnsi="Times New Roman"/>
          <w:sz w:val="24"/>
          <w:szCs w:val="24"/>
        </w:rPr>
        <w:t xml:space="preserve">the outcry by the victim, </w:t>
      </w:r>
      <w:r w:rsidR="00D04607">
        <w:rPr>
          <w:rFonts w:ascii="Times New Roman" w:hAnsi="Times New Roman"/>
          <w:sz w:val="24"/>
          <w:szCs w:val="24"/>
        </w:rPr>
        <w:t>and any evidence that would reasonably stem from those allegations, at the trial in the above-referenced indictment.</w:t>
      </w:r>
    </w:p>
    <w:p w:rsidR="00D04607" w:rsidRPr="00D04607" w:rsidRDefault="00D04607" w:rsidP="001A725D">
      <w:pPr>
        <w:spacing w:before="240" w:line="480" w:lineRule="auto"/>
        <w:rPr>
          <w:rFonts w:ascii="Times New Roman" w:hAnsi="Times New Roman"/>
          <w:sz w:val="24"/>
          <w:szCs w:val="24"/>
        </w:rPr>
      </w:pPr>
      <w:r>
        <w:rPr>
          <w:rFonts w:ascii="Times New Roman" w:hAnsi="Times New Roman"/>
          <w:sz w:val="24"/>
          <w:szCs w:val="24"/>
        </w:rPr>
        <w:tab/>
        <w:t xml:space="preserve">Respectfully submitted, this the _____ day </w:t>
      </w:r>
      <w:r w:rsidR="001A725D">
        <w:rPr>
          <w:rFonts w:ascii="Times New Roman" w:hAnsi="Times New Roman"/>
          <w:sz w:val="24"/>
          <w:szCs w:val="24"/>
        </w:rPr>
        <w:t>of ___________________, _______.</w:t>
      </w:r>
      <w:bookmarkStart w:id="0" w:name="_GoBack"/>
      <w:bookmarkEnd w:id="0"/>
    </w:p>
    <w:p w:rsidR="00D04607" w:rsidRPr="00D04607" w:rsidRDefault="00D04607" w:rsidP="00D046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D04607" w:rsidRPr="00D04607" w:rsidRDefault="00D04607" w:rsidP="00D046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D04607" w:rsidRPr="00D04607" w:rsidRDefault="00D04607" w:rsidP="00D046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t>______________________________</w:t>
      </w:r>
    </w:p>
    <w:p w:rsidR="00D04607" w:rsidRDefault="00D04607" w:rsidP="001A72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Pr="00D04607">
        <w:rPr>
          <w:rFonts w:ascii="Times New Roman" w:hAnsi="Times New Roman"/>
        </w:rPr>
        <w:tab/>
      </w:r>
      <w:r w:rsidR="001A725D">
        <w:rPr>
          <w:rFonts w:ascii="Times New Roman" w:hAnsi="Times New Roman"/>
        </w:rPr>
        <w:t xml:space="preserve">Assistant District Attorney </w:t>
      </w:r>
    </w:p>
    <w:p w:rsidR="001A725D" w:rsidRDefault="001A725D" w:rsidP="001A72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1A725D" w:rsidRDefault="001A725D" w:rsidP="001A72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1A725D" w:rsidRDefault="001A725D" w:rsidP="001A72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1A725D" w:rsidRPr="001A725D" w:rsidRDefault="001A725D" w:rsidP="001A72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sz w:val="28"/>
          <w:szCs w:val="28"/>
        </w:rPr>
      </w:pPr>
      <w:r w:rsidRPr="001A725D">
        <w:rPr>
          <w:rFonts w:ascii="Times New Roman" w:hAnsi="Times New Roman"/>
          <w:sz w:val="28"/>
          <w:szCs w:val="28"/>
          <w:highlight w:val="yellow"/>
        </w:rPr>
        <w:t xml:space="preserve">[NOTE: COURTS IN GEORGIA </w:t>
      </w:r>
      <w:proofErr w:type="gramStart"/>
      <w:r w:rsidRPr="001A725D">
        <w:rPr>
          <w:rFonts w:ascii="Times New Roman" w:hAnsi="Times New Roman"/>
          <w:sz w:val="28"/>
          <w:szCs w:val="28"/>
          <w:highlight w:val="yellow"/>
        </w:rPr>
        <w:t>HAVE</w:t>
      </w:r>
      <w:proofErr w:type="gramEnd"/>
      <w:r w:rsidRPr="001A725D">
        <w:rPr>
          <w:rFonts w:ascii="Times New Roman" w:hAnsi="Times New Roman"/>
          <w:sz w:val="28"/>
          <w:szCs w:val="28"/>
          <w:highlight w:val="yellow"/>
        </w:rPr>
        <w:t xml:space="preserve"> HELD THAT PRIOR ALLEGATIONS MAY BE ADMISSIBLE TO SHOW ANOTHER EXPLANATION FOR A PSYCHOLOGICAL OR BEHAVIORAL CONDITION, SUCH AS CHILD ABUSE ACCOMODATION SYNDROME.  BE CAREFUL NOT TO DISCUSS POSSIBLE ISSUES AT TRIAL IF YOU WISH TO KEEP THE PRIOR ALLEGATION OUT]</w:t>
      </w:r>
    </w:p>
    <w:p w:rsidR="00D04607" w:rsidRPr="00D04607" w:rsidRDefault="00D04607" w:rsidP="00D046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rPr>
      </w:pPr>
    </w:p>
    <w:p w:rsidR="00D04607" w:rsidRPr="00D04607" w:rsidRDefault="00D04607" w:rsidP="00D04607">
      <w:pPr>
        <w:spacing w:after="0"/>
        <w:rPr>
          <w:rFonts w:ascii="Times New Roman" w:hAnsi="Times New Roman"/>
          <w:b/>
          <w:sz w:val="24"/>
          <w:szCs w:val="24"/>
          <w:u w:val="single"/>
        </w:rPr>
      </w:pPr>
    </w:p>
    <w:p w:rsidR="006F08CD" w:rsidRDefault="006F08CD" w:rsidP="006F08CD">
      <w:pPr>
        <w:spacing w:before="240" w:line="480" w:lineRule="auto"/>
        <w:rPr>
          <w:rFonts w:ascii="Times New Roman" w:hAnsi="Times New Roman"/>
          <w:sz w:val="24"/>
          <w:szCs w:val="24"/>
        </w:rPr>
      </w:pPr>
    </w:p>
    <w:p w:rsidR="00FF6F62" w:rsidRDefault="00FF6F62" w:rsidP="006F08CD">
      <w:pPr>
        <w:spacing w:before="240" w:line="480" w:lineRule="auto"/>
        <w:rPr>
          <w:rFonts w:ascii="Times New Roman" w:hAnsi="Times New Roman"/>
          <w:sz w:val="24"/>
          <w:szCs w:val="24"/>
        </w:rPr>
      </w:pPr>
    </w:p>
    <w:p w:rsidR="00FF6F62" w:rsidRDefault="00FF6F62" w:rsidP="006F08CD">
      <w:pPr>
        <w:spacing w:before="240" w:line="480" w:lineRule="auto"/>
        <w:rPr>
          <w:rFonts w:ascii="Times New Roman" w:hAnsi="Times New Roman"/>
          <w:sz w:val="24"/>
          <w:szCs w:val="24"/>
        </w:rPr>
      </w:pPr>
    </w:p>
    <w:sectPr w:rsidR="00FF6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90" w:rsidRDefault="008A4B90" w:rsidP="006F08CD">
      <w:pPr>
        <w:spacing w:after="0" w:line="240" w:lineRule="auto"/>
      </w:pPr>
      <w:r>
        <w:separator/>
      </w:r>
    </w:p>
  </w:endnote>
  <w:endnote w:type="continuationSeparator" w:id="0">
    <w:p w:rsidR="008A4B90" w:rsidRDefault="008A4B90" w:rsidP="006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90" w:rsidRDefault="008A4B90" w:rsidP="006F08CD">
      <w:pPr>
        <w:spacing w:after="0" w:line="240" w:lineRule="auto"/>
      </w:pPr>
      <w:r>
        <w:separator/>
      </w:r>
    </w:p>
  </w:footnote>
  <w:footnote w:type="continuationSeparator" w:id="0">
    <w:p w:rsidR="008A4B90" w:rsidRDefault="008A4B90" w:rsidP="006F08CD">
      <w:pPr>
        <w:spacing w:after="0" w:line="240" w:lineRule="auto"/>
      </w:pPr>
      <w:r>
        <w:continuationSeparator/>
      </w:r>
    </w:p>
  </w:footnote>
  <w:footnote w:id="1">
    <w:p w:rsidR="006F08CD" w:rsidRDefault="006F08CD">
      <w:pPr>
        <w:pStyle w:val="FootnoteText"/>
      </w:pPr>
      <w:r>
        <w:rPr>
          <w:rStyle w:val="FootnoteReference"/>
        </w:rPr>
        <w:footnoteRef/>
      </w:r>
      <w:r>
        <w:t xml:space="preserve"> </w:t>
      </w:r>
      <w:r w:rsidRPr="006F08CD">
        <w:rPr>
          <w:rFonts w:ascii="Times New Roman" w:hAnsi="Times New Roman"/>
          <w:sz w:val="24"/>
          <w:szCs w:val="24"/>
        </w:rPr>
        <w:t xml:space="preserve">An accused will not be prevented from showing that medical evidence of sexual activity might be due to the victim’s sexual activity with a boyfriend rather than with the accused. </w:t>
      </w:r>
      <w:r w:rsidRPr="006F08CD">
        <w:rPr>
          <w:rFonts w:ascii="Times New Roman" w:hAnsi="Times New Roman"/>
          <w:i/>
          <w:sz w:val="24"/>
          <w:szCs w:val="24"/>
        </w:rPr>
        <w:t>Tidwell v. State</w:t>
      </w:r>
      <w:r w:rsidRPr="006F08CD">
        <w:rPr>
          <w:rFonts w:ascii="Times New Roman" w:hAnsi="Times New Roman"/>
          <w:sz w:val="24"/>
          <w:szCs w:val="24"/>
        </w:rPr>
        <w:t>, 306 Ga. App. 307, 311 (2010)(accepting defendant’s argument that the child victim’s sexual relationship with her boyfriend gave an alternate explanation for her damaged hymen, an injury that the prosecution attributed to the defend</w:t>
      </w:r>
      <w:r>
        <w:rPr>
          <w:rFonts w:ascii="Times New Roman" w:hAnsi="Times New Roman"/>
          <w:sz w:val="24"/>
          <w:szCs w:val="24"/>
        </w:rPr>
        <w:t>ant’s molestation).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F"/>
    <w:rsid w:val="000A36B4"/>
    <w:rsid w:val="001A725D"/>
    <w:rsid w:val="0028620E"/>
    <w:rsid w:val="004A32F4"/>
    <w:rsid w:val="004D027F"/>
    <w:rsid w:val="006E6BA6"/>
    <w:rsid w:val="006F08CD"/>
    <w:rsid w:val="007932BA"/>
    <w:rsid w:val="008A4B90"/>
    <w:rsid w:val="008C0FBD"/>
    <w:rsid w:val="009B0BB7"/>
    <w:rsid w:val="00B90AA2"/>
    <w:rsid w:val="00BD13D4"/>
    <w:rsid w:val="00D04607"/>
    <w:rsid w:val="00D3269C"/>
    <w:rsid w:val="00DE3CCF"/>
    <w:rsid w:val="00F43818"/>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8C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F08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8C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F0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6207-F992-8F4F-9E2B-FFB65D4F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2</cp:revision>
  <dcterms:created xsi:type="dcterms:W3CDTF">2016-12-12T20:37:00Z</dcterms:created>
  <dcterms:modified xsi:type="dcterms:W3CDTF">2016-12-12T20:37:00Z</dcterms:modified>
</cp:coreProperties>
</file>