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87267" w14:textId="77777777" w:rsidR="00DB1140" w:rsidRDefault="00DB1140" w:rsidP="00DB1140">
      <w:pPr>
        <w:pStyle w:val="15Spacing"/>
        <w:spacing w:line="240" w:lineRule="auto"/>
        <w:jc w:val="center"/>
        <w:rPr>
          <w:b/>
          <w:szCs w:val="26"/>
        </w:rPr>
      </w:pPr>
      <w:r>
        <w:rPr>
          <w:b/>
          <w:szCs w:val="26"/>
        </w:rPr>
        <w:t>POINTS AND AUTHORITIES IN OPPOSITION TO DEFENDANT’S MOTION TO EXCLUDE CANINE DNA</w:t>
      </w:r>
    </w:p>
    <w:p w14:paraId="3AC9B5CE" w14:textId="77777777" w:rsidR="00DB1140" w:rsidRDefault="00DB1140" w:rsidP="00DB1140">
      <w:pPr>
        <w:pStyle w:val="15Spacing"/>
        <w:spacing w:line="240" w:lineRule="auto"/>
        <w:jc w:val="center"/>
        <w:rPr>
          <w:b/>
          <w:sz w:val="26"/>
          <w:szCs w:val="26"/>
          <w:u w:val="single"/>
        </w:rPr>
      </w:pPr>
    </w:p>
    <w:p w14:paraId="67507840" w14:textId="77777777" w:rsidR="00DB1140" w:rsidRDefault="00DB1140" w:rsidP="00DB1140">
      <w:pPr>
        <w:pStyle w:val="CourtName"/>
        <w:widowControl w:val="0"/>
        <w:spacing w:line="240" w:lineRule="auto"/>
        <w:rPr>
          <w:b/>
          <w:bCs/>
          <w:szCs w:val="26"/>
        </w:rPr>
      </w:pPr>
      <w:r>
        <w:rPr>
          <w:b/>
          <w:bCs/>
          <w:szCs w:val="26"/>
        </w:rPr>
        <w:t>State of California</w:t>
      </w:r>
    </w:p>
    <w:p w14:paraId="152215FB" w14:textId="77777777" w:rsidR="00DB1140" w:rsidRDefault="00DB1140" w:rsidP="00DB1140">
      <w:pPr>
        <w:pStyle w:val="CourtName"/>
        <w:widowControl w:val="0"/>
        <w:spacing w:line="240" w:lineRule="auto"/>
        <w:rPr>
          <w:b/>
          <w:bCs/>
          <w:szCs w:val="26"/>
        </w:rPr>
      </w:pPr>
      <w:r>
        <w:rPr>
          <w:b/>
          <w:bCs/>
          <w:szCs w:val="26"/>
        </w:rPr>
        <w:t>June 2002</w:t>
      </w:r>
    </w:p>
    <w:p w14:paraId="57B1F2C8" w14:textId="77777777" w:rsidR="00DB1140" w:rsidRDefault="00DB1140" w:rsidP="00DB1140">
      <w:pPr>
        <w:pStyle w:val="DoubleSpace"/>
        <w:suppressAutoHyphens/>
        <w:spacing w:line="240" w:lineRule="auto"/>
        <w:jc w:val="center"/>
        <w:rPr>
          <w:rFonts w:ascii="Times New Roman" w:hAnsi="Times New Roman"/>
          <w:spacing w:val="-3"/>
          <w:szCs w:val="26"/>
        </w:rPr>
      </w:pPr>
    </w:p>
    <w:p w14:paraId="60BBD020" w14:textId="77777777" w:rsidR="00DB1140" w:rsidRDefault="00DB1140" w:rsidP="00DB1140">
      <w:pPr>
        <w:pStyle w:val="DoubleSpace"/>
        <w:suppressAutoHyphens/>
        <w:jc w:val="center"/>
        <w:rPr>
          <w:rFonts w:ascii="Times New Roman" w:hAnsi="Times New Roman"/>
          <w:spacing w:val="-3"/>
          <w:szCs w:val="26"/>
        </w:rPr>
      </w:pPr>
      <w:r>
        <w:rPr>
          <w:rFonts w:ascii="Times New Roman" w:hAnsi="Times New Roman"/>
          <w:b/>
          <w:spacing w:val="-3"/>
          <w:szCs w:val="26"/>
        </w:rPr>
        <w:t>STATEMENT OF FACTS</w:t>
      </w:r>
    </w:p>
    <w:p w14:paraId="202C43ED" w14:textId="77777777" w:rsidR="00DB1140" w:rsidRDefault="00DB1140" w:rsidP="00DB1140">
      <w:pPr>
        <w:pStyle w:val="BodyText"/>
        <w:jc w:val="both"/>
      </w:pPr>
      <w:r>
        <w:tab/>
        <w:t>Evidence to be produced by the People at trial in the present case will include visual comparison of hairs retrieved in the investigation of the disappearance and death of DD. Hairs recovered by law enforcement include what were determined by visual comparison to be animal hairs from the following locations: clothing found on the defendant’s laundry room dryer top (item #6); dryer lint found in a trash bag inside the defendant’s garage (item #13); hall carpeting in the defendant’s motorhome (item #74); a comforter seized at Twin Peaks Cleaners (item #93); and a bathmat in the bathroom of the defendant’s motorhome (item #155).</w:t>
      </w:r>
    </w:p>
    <w:p w14:paraId="5D36AEF1" w14:textId="77777777" w:rsidR="00DB1140" w:rsidRDefault="00DB1140" w:rsidP="00DB1140">
      <w:pPr>
        <w:pStyle w:val="BodyText"/>
        <w:jc w:val="both"/>
      </w:pPr>
      <w:r>
        <w:tab/>
        <w:t>The above animal hairs were forwarded to Veterinary Genetics Lab…for nuclear canine DNA testing. Insufficient nuclear DNA was able to be extracted from those hairs due to the absence of sufficient root material. The DNA extracts were then forwarded to Dr. H, Senior Scientist at Q Forensics. Dr. H performed mitochondrial DNA (“</w:t>
      </w:r>
      <w:proofErr w:type="spellStart"/>
      <w:r>
        <w:t>MtDNA</w:t>
      </w:r>
      <w:proofErr w:type="spellEnd"/>
      <w:r>
        <w:t xml:space="preserve">”) testing on those extracts and obtained DNA types from item numbers 13, 74, 93, and 155. </w:t>
      </w:r>
    </w:p>
    <w:p w14:paraId="15E23735" w14:textId="77777777" w:rsidR="00DB1140" w:rsidRDefault="00DB1140" w:rsidP="00DB1140">
      <w:pPr>
        <w:pStyle w:val="BodyText"/>
        <w:jc w:val="both"/>
      </w:pPr>
      <w:proofErr w:type="spellStart"/>
      <w:r>
        <w:t>MtDNA</w:t>
      </w:r>
      <w:proofErr w:type="spellEnd"/>
      <w:r>
        <w:t xml:space="preserve"> testing was then performed by Dr. H on known samples previously obtained by law enforcement from “L” a dog owned by the VD family. Comparison of those results revealed that the above evidence sample </w:t>
      </w:r>
      <w:proofErr w:type="spellStart"/>
      <w:r>
        <w:t>MtDNA</w:t>
      </w:r>
      <w:proofErr w:type="spellEnd"/>
      <w:r>
        <w:t xml:space="preserve"> sequences are consistent with those of L. The sequences shared by the evidence samples and L are found 23 times in a database of 357 randomly selected dogs of numerous different breeds maintained by Dr. H. Thus, the common sequences occur in approximately 1 in 15.5 dog in that database.</w:t>
      </w:r>
    </w:p>
    <w:p w14:paraId="226CB60F" w14:textId="77777777" w:rsidR="00DB1140" w:rsidRDefault="00DB1140" w:rsidP="00DB1140">
      <w:pPr>
        <w:pStyle w:val="BodyText"/>
        <w:jc w:val="both"/>
      </w:pPr>
    </w:p>
    <w:p w14:paraId="3F913411" w14:textId="77777777" w:rsidR="00DB1140" w:rsidRDefault="00DB1140" w:rsidP="00DB1140">
      <w:pPr>
        <w:pStyle w:val="BodyText"/>
        <w:jc w:val="center"/>
        <w:rPr>
          <w:b/>
        </w:rPr>
      </w:pPr>
      <w:r>
        <w:rPr>
          <w:b/>
        </w:rPr>
        <w:t>ARGUMENT</w:t>
      </w:r>
    </w:p>
    <w:p w14:paraId="4087491E" w14:textId="77777777" w:rsidR="00DB1140" w:rsidRDefault="00DB1140" w:rsidP="00DB1140">
      <w:pPr>
        <w:pStyle w:val="BodyText"/>
        <w:jc w:val="center"/>
        <w:rPr>
          <w:b/>
        </w:rPr>
      </w:pPr>
    </w:p>
    <w:p w14:paraId="210CCEAE" w14:textId="77777777" w:rsidR="00DB1140" w:rsidRDefault="00DB1140" w:rsidP="00DB1140">
      <w:pPr>
        <w:pStyle w:val="BodyText"/>
        <w:jc w:val="center"/>
        <w:rPr>
          <w:b/>
        </w:rPr>
      </w:pPr>
      <w:r>
        <w:rPr>
          <w:b/>
        </w:rPr>
        <w:t>I</w:t>
      </w:r>
    </w:p>
    <w:p w14:paraId="0361A755" w14:textId="77777777" w:rsidR="00DB1140" w:rsidRDefault="00DB1140" w:rsidP="00DB1140">
      <w:pPr>
        <w:pStyle w:val="BodyText"/>
        <w:jc w:val="center"/>
        <w:rPr>
          <w:b/>
        </w:rPr>
      </w:pPr>
      <w:r>
        <w:rPr>
          <w:b/>
        </w:rPr>
        <w:t xml:space="preserve">CANINE </w:t>
      </w:r>
      <w:proofErr w:type="spellStart"/>
      <w:r>
        <w:rPr>
          <w:b/>
        </w:rPr>
        <w:t>MtDNA</w:t>
      </w:r>
      <w:proofErr w:type="spellEnd"/>
      <w:r>
        <w:rPr>
          <w:b/>
        </w:rPr>
        <w:t xml:space="preserve"> TYPING REULTS SHOULD</w:t>
      </w:r>
    </w:p>
    <w:p w14:paraId="545D0B3F" w14:textId="77777777" w:rsidR="00DB1140" w:rsidRDefault="00DB1140" w:rsidP="00DB1140">
      <w:pPr>
        <w:pStyle w:val="BodyText"/>
        <w:jc w:val="center"/>
        <w:rPr>
          <w:b/>
        </w:rPr>
      </w:pPr>
      <w:r>
        <w:rPr>
          <w:b/>
        </w:rPr>
        <w:t>BE ADMITTED BY THIS COURT</w:t>
      </w:r>
    </w:p>
    <w:p w14:paraId="10853F8A" w14:textId="77777777" w:rsidR="00DB1140" w:rsidRDefault="00DB1140" w:rsidP="00DB1140">
      <w:pPr>
        <w:pStyle w:val="BodyText"/>
        <w:jc w:val="both"/>
      </w:pPr>
    </w:p>
    <w:p w14:paraId="62E347D4" w14:textId="77777777" w:rsidR="00DB1140" w:rsidRDefault="00DB1140" w:rsidP="00DB1140">
      <w:pPr>
        <w:pStyle w:val="BodyText"/>
        <w:jc w:val="both"/>
      </w:pPr>
      <w:r>
        <w:tab/>
        <w:t>This court should permit admission of canine mitochondrial DNA typing results pr</w:t>
      </w:r>
      <w:r>
        <w:t>o</w:t>
      </w:r>
      <w:r>
        <w:t xml:space="preserve">duced in the instant case. </w:t>
      </w:r>
      <w:proofErr w:type="spellStart"/>
      <w:r>
        <w:t>Mitchondrial</w:t>
      </w:r>
      <w:proofErr w:type="spellEnd"/>
      <w:r>
        <w:t xml:space="preserve"> DNA testing is generally accepted in the scie</w:t>
      </w:r>
      <w:r>
        <w:t>n</w:t>
      </w:r>
      <w:r>
        <w:t>tific community as an accurate and reliable forensic testing method.</w:t>
      </w:r>
    </w:p>
    <w:p w14:paraId="444780C8" w14:textId="77777777" w:rsidR="00DB1140" w:rsidRDefault="00DB1140" w:rsidP="00DB1140">
      <w:pPr>
        <w:pStyle w:val="BodyText"/>
        <w:jc w:val="both"/>
      </w:pPr>
      <w:r>
        <w:t>A brief examination of relevant standards governing the admission of scientific ev</w:t>
      </w:r>
      <w:r>
        <w:t>i</w:t>
      </w:r>
      <w:r>
        <w:t>dence is instructive. The admissibility of testimony presented by experts in the state of Cal</w:t>
      </w:r>
      <w:r>
        <w:t>i</w:t>
      </w:r>
      <w:r>
        <w:t xml:space="preserve">fornia based upon the use of new or novel scientific techniques is governed by the rules set forth in </w:t>
      </w:r>
      <w:r>
        <w:rPr>
          <w:i/>
        </w:rPr>
        <w:t>Frye v. United States</w:t>
      </w:r>
      <w:r>
        <w:t xml:space="preserve"> (</w:t>
      </w:r>
      <w:proofErr w:type="spellStart"/>
      <w:r>
        <w:t>D.C.Cir</w:t>
      </w:r>
      <w:proofErr w:type="spellEnd"/>
      <w:r>
        <w:t xml:space="preserve">. 1923) 293 F. 1013, and </w:t>
      </w:r>
      <w:r>
        <w:rPr>
          <w:i/>
        </w:rPr>
        <w:t>People v. Kelly</w:t>
      </w:r>
      <w:r>
        <w:t xml:space="preserve"> (1976) 17 Cal.3d 24. Specifically, the "</w:t>
      </w:r>
      <w:r>
        <w:rPr>
          <w:i/>
        </w:rPr>
        <w:t>Kelly-Frye</w:t>
      </w:r>
      <w:r>
        <w:t>" rule in this state requires the proponent of such ev</w:t>
      </w:r>
      <w:r>
        <w:t>i</w:t>
      </w:r>
      <w:r>
        <w:t xml:space="preserve">dence to establish, prior to admission, the </w:t>
      </w:r>
      <w:r>
        <w:rPr>
          <w:b/>
        </w:rPr>
        <w:t>reliabi</w:t>
      </w:r>
      <w:r>
        <w:rPr>
          <w:b/>
        </w:rPr>
        <w:t>l</w:t>
      </w:r>
      <w:r>
        <w:rPr>
          <w:b/>
        </w:rPr>
        <w:t>ity</w:t>
      </w:r>
      <w:r>
        <w:t xml:space="preserve"> of the scientific method employed. (</w:t>
      </w:r>
      <w:r>
        <w:rPr>
          <w:i/>
        </w:rPr>
        <w:t>People v. Kelly</w:t>
      </w:r>
      <w:r>
        <w:t xml:space="preserve">, </w:t>
      </w:r>
      <w:r>
        <w:rPr>
          <w:i/>
        </w:rPr>
        <w:t>s</w:t>
      </w:r>
      <w:r>
        <w:rPr>
          <w:i/>
        </w:rPr>
        <w:t>u</w:t>
      </w:r>
      <w:r>
        <w:rPr>
          <w:i/>
        </w:rPr>
        <w:t>pra</w:t>
      </w:r>
      <w:r>
        <w:t xml:space="preserve">, at p. 30; see also </w:t>
      </w:r>
      <w:r>
        <w:rPr>
          <w:i/>
        </w:rPr>
        <w:t>People v. Leahy</w:t>
      </w:r>
      <w:r>
        <w:t xml:space="preserve"> (1994) 8 Cal.4th 587, 604.)</w:t>
      </w:r>
      <w:r>
        <w:rPr>
          <w:b/>
        </w:rPr>
        <w:tab/>
      </w:r>
    </w:p>
    <w:p w14:paraId="062460A9" w14:textId="77777777" w:rsidR="00DB1140" w:rsidRDefault="00DB1140" w:rsidP="00DB1140">
      <w:pPr>
        <w:pStyle w:val="BodyText"/>
        <w:jc w:val="both"/>
      </w:pPr>
      <w:r>
        <w:rPr>
          <w:b/>
        </w:rPr>
        <w:tab/>
        <w:t>Reliability</w:t>
      </w:r>
      <w:r>
        <w:t xml:space="preserve"> for purposes of compliance with </w:t>
      </w:r>
      <w:r>
        <w:rPr>
          <w:i/>
        </w:rPr>
        <w:t>Frye</w:t>
      </w:r>
      <w:r>
        <w:t xml:space="preserve"> has been interpreted by the Califo</w:t>
      </w:r>
      <w:r>
        <w:t>r</w:t>
      </w:r>
      <w:r>
        <w:t>nia Supreme Court to mean the technique used "must be sufficiently established to have gained ge</w:t>
      </w:r>
      <w:r>
        <w:t>n</w:t>
      </w:r>
      <w:r>
        <w:t>eral acceptance in the particular field in which it belongs." (</w:t>
      </w:r>
      <w:r>
        <w:rPr>
          <w:i/>
        </w:rPr>
        <w:t>People v. Kelly</w:t>
      </w:r>
      <w:r>
        <w:t xml:space="preserve">, </w:t>
      </w:r>
      <w:r>
        <w:rPr>
          <w:i/>
        </w:rPr>
        <w:t>supra</w:t>
      </w:r>
      <w:r>
        <w:t xml:space="preserve">, at p. 30.) The </w:t>
      </w:r>
      <w:r>
        <w:rPr>
          <w:i/>
        </w:rPr>
        <w:t>Kelly</w:t>
      </w:r>
      <w:r>
        <w:t xml:space="preserve"> court based its conclusion on the discussion in </w:t>
      </w:r>
      <w:proofErr w:type="spellStart"/>
      <w:proofErr w:type="gramStart"/>
      <w:r>
        <w:rPr>
          <w:i/>
        </w:rPr>
        <w:t>Frye,</w:t>
      </w:r>
      <w:r>
        <w:t>which</w:t>
      </w:r>
      <w:proofErr w:type="spellEnd"/>
      <w:proofErr w:type="gramEnd"/>
      <w:r>
        <w:t xml:space="preserve"> noted,</w:t>
      </w:r>
    </w:p>
    <w:p w14:paraId="3C9CEB5E" w14:textId="77777777" w:rsidR="00DB1140" w:rsidRDefault="00DB1140" w:rsidP="00DB1140">
      <w:pPr>
        <w:pStyle w:val="BodyText"/>
        <w:jc w:val="both"/>
      </w:pPr>
      <w:r>
        <w:lastRenderedPageBreak/>
        <w:tab/>
        <w:t>". . . while courts will go a long way in admitting expert testimony d</w:t>
      </w:r>
      <w:r>
        <w:t>e</w:t>
      </w:r>
      <w:r>
        <w:t>duced from a well-recognized scientific principle or discovery, the thing from which the deduction is made must be sufficiently established to have gained general acceptance in the particular field in which it b</w:t>
      </w:r>
      <w:r>
        <w:t>e</w:t>
      </w:r>
      <w:r>
        <w:t>longs." (</w:t>
      </w:r>
      <w:r>
        <w:rPr>
          <w:i/>
        </w:rPr>
        <w:t>Frye v. United States</w:t>
      </w:r>
      <w:r>
        <w:t xml:space="preserve">, </w:t>
      </w:r>
      <w:r>
        <w:rPr>
          <w:i/>
        </w:rPr>
        <w:t>supra</w:t>
      </w:r>
      <w:r>
        <w:t>, at p. 1014.)</w:t>
      </w:r>
    </w:p>
    <w:p w14:paraId="6AFE42EC" w14:textId="77777777" w:rsidR="00DB1140" w:rsidRDefault="00DB1140" w:rsidP="00DB1140">
      <w:pPr>
        <w:pStyle w:val="BodyText"/>
        <w:jc w:val="both"/>
      </w:pPr>
      <w:r>
        <w:tab/>
        <w:t xml:space="preserve">The </w:t>
      </w:r>
      <w:r>
        <w:rPr>
          <w:i/>
        </w:rPr>
        <w:t>Kelly</w:t>
      </w:r>
      <w:r>
        <w:t xml:space="preserve"> court added an additional inquiry in its 1976 decision, requiring the prop</w:t>
      </w:r>
      <w:r>
        <w:t>o</w:t>
      </w:r>
      <w:r>
        <w:t>nent to demonstrate that "correct scientific procedures" were used in the testing conducted in the particular case. (</w:t>
      </w:r>
      <w:r>
        <w:rPr>
          <w:i/>
        </w:rPr>
        <w:t>People v. Kelly</w:t>
      </w:r>
      <w:r>
        <w:t xml:space="preserve">, </w:t>
      </w:r>
      <w:r>
        <w:rPr>
          <w:i/>
        </w:rPr>
        <w:t>supra</w:t>
      </w:r>
      <w:r>
        <w:t xml:space="preserve">, at p. 30; see Argument II, </w:t>
      </w:r>
      <w:r>
        <w:rPr>
          <w:i/>
        </w:rPr>
        <w:t>infra</w:t>
      </w:r>
      <w:r>
        <w:t>.)</w:t>
      </w:r>
    </w:p>
    <w:p w14:paraId="375A4668" w14:textId="77777777" w:rsidR="00DB1140" w:rsidRDefault="00DB1140" w:rsidP="00DB1140">
      <w:pPr>
        <w:pStyle w:val="BodyText"/>
        <w:jc w:val="both"/>
      </w:pPr>
      <w:r>
        <w:tab/>
        <w:t>California law approving the admissibility of forensic DNA typing evidence has sp</w:t>
      </w:r>
      <w:r>
        <w:t>e</w:t>
      </w:r>
      <w:r>
        <w:t>cifically established that the testimony of a single, qualified witness – even one employed by the laboratory which conducted the testing at issue – is sufficient to establish general acce</w:t>
      </w:r>
      <w:r>
        <w:t>p</w:t>
      </w:r>
      <w:r>
        <w:t>tance. The court of a</w:t>
      </w:r>
      <w:r>
        <w:t>p</w:t>
      </w:r>
      <w:r>
        <w:t xml:space="preserve">peal in </w:t>
      </w:r>
      <w:r>
        <w:rPr>
          <w:i/>
        </w:rPr>
        <w:t xml:space="preserve">People v. Allen </w:t>
      </w:r>
      <w:r>
        <w:t>(1999) 72 Cal.App.4</w:t>
      </w:r>
      <w:r>
        <w:rPr>
          <w:vertAlign w:val="superscript"/>
        </w:rPr>
        <w:t>th</w:t>
      </w:r>
      <w:r>
        <w:t xml:space="preserve"> 1093 concluded:</w:t>
      </w:r>
    </w:p>
    <w:p w14:paraId="1D4BC233" w14:textId="77777777" w:rsidR="00DB1140" w:rsidRDefault="00DB1140" w:rsidP="00DB1140">
      <w:pPr>
        <w:pStyle w:val="BodyText"/>
        <w:jc w:val="both"/>
      </w:pPr>
      <w:r>
        <w:t>“Allen argues the STR testing evidence should have been completely e</w:t>
      </w:r>
      <w:r>
        <w:t>x</w:t>
      </w:r>
      <w:r>
        <w:t xml:space="preserve">cluded because it has not been shown to satisfy the </w:t>
      </w:r>
      <w:r>
        <w:rPr>
          <w:i/>
        </w:rPr>
        <w:t>Kelly</w:t>
      </w:r>
      <w:r>
        <w:t xml:space="preserve"> test. He co</w:t>
      </w:r>
      <w:r>
        <w:t>m</w:t>
      </w:r>
      <w:r>
        <w:t>plains the only evidence regarding general scientific acceptance co</w:t>
      </w:r>
      <w:r>
        <w:t>n</w:t>
      </w:r>
      <w:r>
        <w:t xml:space="preserve">sisted of the testimony from a </w:t>
      </w:r>
      <w:proofErr w:type="spellStart"/>
      <w:r>
        <w:t>Cellmark</w:t>
      </w:r>
      <w:proofErr w:type="spellEnd"/>
      <w:r>
        <w:t xml:space="preserve"> employee. We fail to see why that was not competent ev</w:t>
      </w:r>
      <w:r>
        <w:t>i</w:t>
      </w:r>
      <w:r>
        <w:t xml:space="preserve">dence of general acceptance in the scientific community. (See </w:t>
      </w:r>
      <w:r>
        <w:rPr>
          <w:i/>
        </w:rPr>
        <w:t>State v. Jackson</w:t>
      </w:r>
      <w:r>
        <w:t xml:space="preserve"> (1998) 255 Neb. 68 [582 N.W.2d 317, 325] [director of lab that did DNA tes</w:t>
      </w:r>
      <w:r>
        <w:t>t</w:t>
      </w:r>
      <w:r>
        <w:t>ing by PCR STR method testifies regarding acceptance in scientific comm</w:t>
      </w:r>
      <w:r>
        <w:t>u</w:t>
      </w:r>
      <w:r>
        <w:t>nity].)” (</w:t>
      </w:r>
      <w:r>
        <w:rPr>
          <w:i/>
        </w:rPr>
        <w:t xml:space="preserve">People v. Allen, supra, </w:t>
      </w:r>
      <w:r>
        <w:t>at p. 1099.)</w:t>
      </w:r>
    </w:p>
    <w:p w14:paraId="7E65DDC3" w14:textId="77777777" w:rsidR="00DB1140" w:rsidRDefault="00DB1140" w:rsidP="00DB1140">
      <w:pPr>
        <w:pStyle w:val="BodyText"/>
        <w:jc w:val="both"/>
        <w:rPr>
          <w:b/>
        </w:rPr>
      </w:pPr>
      <w:r>
        <w:rPr>
          <w:b/>
        </w:rPr>
        <w:t xml:space="preserve">Similarly, in May of last year, in another opinion, the court of appeal reaffirmed the ruling in </w:t>
      </w:r>
      <w:r>
        <w:rPr>
          <w:b/>
          <w:i/>
        </w:rPr>
        <w:t xml:space="preserve">People v. Allen, supra, </w:t>
      </w:r>
      <w:r>
        <w:rPr>
          <w:b/>
        </w:rPr>
        <w:t>and rejected any notion that testimony of more than a single witness is required for a sufficient showing of general acceptance. Specifically, the court concluded:</w:t>
      </w:r>
    </w:p>
    <w:p w14:paraId="24F98DBC" w14:textId="77777777" w:rsidR="00DB1140" w:rsidRDefault="00DB1140" w:rsidP="00DB1140">
      <w:pPr>
        <w:pStyle w:val="BodyText"/>
        <w:jc w:val="both"/>
        <w:rPr>
          <w:b/>
        </w:rPr>
      </w:pPr>
      <w:r>
        <w:rPr>
          <w:b/>
        </w:rPr>
        <w:t xml:space="preserve">“General acceptance in the scientific community may be established by the testimony of a director or supervisor of a DNA forensic lab.” (Citations omitted; </w:t>
      </w:r>
      <w:r>
        <w:rPr>
          <w:b/>
          <w:i/>
        </w:rPr>
        <w:t>People v. Hill</w:t>
      </w:r>
      <w:r>
        <w:rPr>
          <w:b/>
        </w:rPr>
        <w:t xml:space="preserve"> (2001) 89 Cal.App.4</w:t>
      </w:r>
      <w:r>
        <w:rPr>
          <w:b/>
          <w:vertAlign w:val="superscript"/>
        </w:rPr>
        <w:t>th</w:t>
      </w:r>
      <w:r>
        <w:rPr>
          <w:b/>
        </w:rPr>
        <w:t xml:space="preserve"> 48, 58.)</w:t>
      </w:r>
    </w:p>
    <w:p w14:paraId="14BF1D92" w14:textId="77777777" w:rsidR="00DB1140" w:rsidRDefault="00DB1140" w:rsidP="00DB1140">
      <w:pPr>
        <w:pStyle w:val="BodyText"/>
        <w:jc w:val="both"/>
      </w:pPr>
      <w:r>
        <w:tab/>
        <w:t>DNA testing technologies which have been exploited and applied to forensic investig</w:t>
      </w:r>
      <w:r>
        <w:t>a</w:t>
      </w:r>
      <w:r>
        <w:t>tion include the use of the "polymerase chain reaction" ("PCR") to produce DNA of sufficient quantity for genetic marker typing. PCR, itself simply a molecular biological tool, is e</w:t>
      </w:r>
      <w:r>
        <w:t>m</w:t>
      </w:r>
      <w:r>
        <w:t>ployed to rapidly and eff</w:t>
      </w:r>
      <w:r>
        <w:t>i</w:t>
      </w:r>
      <w:r>
        <w:t>ciently prepare evidentiary material of both known and unknown origin for ultimate genetic marker analysis.</w:t>
      </w:r>
    </w:p>
    <w:p w14:paraId="02DE2D54" w14:textId="77777777" w:rsidR="00DB1140" w:rsidRDefault="00DB1140" w:rsidP="00DB1140">
      <w:pPr>
        <w:pStyle w:val="BodyText"/>
        <w:jc w:val="both"/>
      </w:pPr>
      <w:r>
        <w:tab/>
        <w:t>First utilized in forensic casework in 1986 in a Pennsylvania homicide prosecution, f</w:t>
      </w:r>
      <w:r>
        <w:t>o</w:t>
      </w:r>
      <w:r>
        <w:t>rensic investigations utilizing PCR-based techniques have increased dramatically in the United States and abroad. Sexual assault and other crimes of violence involving biological evidence are routinely exa</w:t>
      </w:r>
      <w:r>
        <w:t>m</w:t>
      </w:r>
      <w:r>
        <w:t xml:space="preserve">ined in many American and international jurisdictions with PCR-based typing systems. </w:t>
      </w:r>
    </w:p>
    <w:p w14:paraId="207DA757" w14:textId="77777777" w:rsidR="00DB1140" w:rsidRDefault="00DB1140" w:rsidP="00DB1140">
      <w:pPr>
        <w:pStyle w:val="BodyText"/>
        <w:jc w:val="both"/>
      </w:pPr>
      <w:r>
        <w:tab/>
        <w:t>Developed by a California scientist who received the Nobel Prize in chemistry for his disco</w:t>
      </w:r>
      <w:r>
        <w:t>v</w:t>
      </w:r>
      <w:r>
        <w:t>ery, PCR has proven one of the most significant additions to molecular biology in this century. PCR-based DNA typing systems, including techniques employing mitochondrial DNA, are currently e</w:t>
      </w:r>
      <w:r>
        <w:t>m</w:t>
      </w:r>
      <w:r>
        <w:t>ployed in fields such as human disease diagnosis, endangered species conservation and reproduction, and identification of the remains of violent death victims and American war dead.</w:t>
      </w:r>
    </w:p>
    <w:p w14:paraId="0F897473" w14:textId="77777777" w:rsidR="00DB1140" w:rsidRDefault="00DB1140" w:rsidP="00DB1140">
      <w:pPr>
        <w:pStyle w:val="BodyText"/>
        <w:jc w:val="both"/>
      </w:pPr>
      <w:r>
        <w:tab/>
        <w:t>DNA restriction fragment length polymorphism ("RFLP") testing -- not employed in the pr</w:t>
      </w:r>
      <w:r>
        <w:t>e</w:t>
      </w:r>
      <w:r>
        <w:t>sent case -- necessitates dividing DNA into fragments of various sizes. (</w:t>
      </w:r>
      <w:r>
        <w:rPr>
          <w:i/>
        </w:rPr>
        <w:t xml:space="preserve">People v. </w:t>
      </w:r>
      <w:proofErr w:type="spellStart"/>
      <w:r>
        <w:rPr>
          <w:i/>
        </w:rPr>
        <w:t>Axell</w:t>
      </w:r>
      <w:proofErr w:type="spellEnd"/>
      <w:r>
        <w:t xml:space="preserve"> (1991) 235 Cal.App.3d 836, 846.) Because some of these fragments are relatively large, the RFLP testing process requires that DNA extracted from evidence material be well-preserved</w:t>
      </w:r>
    </w:p>
    <w:p w14:paraId="274520F7" w14:textId="77777777" w:rsidR="00DB1140" w:rsidRDefault="00DB1140" w:rsidP="00DB1140">
      <w:pPr>
        <w:pStyle w:val="BodyText"/>
        <w:jc w:val="both"/>
      </w:pPr>
      <w:r>
        <w:t>-- in "high molecular weight" form -- for the procedure to be successfully e</w:t>
      </w:r>
      <w:r>
        <w:t>m</w:t>
      </w:r>
      <w:r>
        <w:t>ployed.</w:t>
      </w:r>
    </w:p>
    <w:p w14:paraId="220E7E9F" w14:textId="77777777" w:rsidR="00DB1140" w:rsidRDefault="00DB1140" w:rsidP="00DB1140">
      <w:pPr>
        <w:pStyle w:val="BodyText"/>
        <w:jc w:val="both"/>
      </w:pPr>
      <w:r>
        <w:tab/>
        <w:t>PCR amplification is utilized to genetically amplify smaller segments of DNA in order to pr</w:t>
      </w:r>
      <w:r>
        <w:t>o</w:t>
      </w:r>
      <w:r>
        <w:t>duce sufficient sample for purposes of typing. The genetic marker “DQ-Alpha” has been typed in f</w:t>
      </w:r>
      <w:r>
        <w:t>o</w:t>
      </w:r>
      <w:r>
        <w:t>rensic investigations since 1986. Similar to RFLP typing, forensic use of PCR-based DQ-Alpha ty</w:t>
      </w:r>
      <w:r>
        <w:t>p</w:t>
      </w:r>
      <w:r>
        <w:t>ing has increased rapidly both nationally and internationally since 1986. The Federal Bureau of Investigation, as well as numerous local, regional, state, and i</w:t>
      </w:r>
      <w:r>
        <w:t>n</w:t>
      </w:r>
      <w:r>
        <w:t>ternational laboratories, added DQ-Alpha and other PCR-based genetic markers – including short tandem repeats (“STR’s”) -- to their repe</w:t>
      </w:r>
      <w:r>
        <w:t>r</w:t>
      </w:r>
      <w:r>
        <w:t>toire of typing programs.</w:t>
      </w:r>
      <w:r>
        <w:rPr>
          <w:rStyle w:val="FootnoteReference"/>
          <w:szCs w:val="26"/>
        </w:rPr>
        <w:footnoteReference w:id="1"/>
      </w:r>
    </w:p>
    <w:p w14:paraId="211C59E7" w14:textId="77777777" w:rsidR="00DB1140" w:rsidRDefault="00DB1140" w:rsidP="00DB1140">
      <w:pPr>
        <w:pStyle w:val="BodyText"/>
        <w:jc w:val="both"/>
      </w:pPr>
      <w:r>
        <w:tab/>
        <w:t xml:space="preserve">Forensic DNA PCR-based typing is neither new nor novel within the meaning of the </w:t>
      </w:r>
      <w:r>
        <w:rPr>
          <w:i/>
        </w:rPr>
        <w:t>Kelly-Frye</w:t>
      </w:r>
      <w:r>
        <w:t xml:space="preserve"> standard. PCR-based testing, as utilized in the instant case and as was noted, </w:t>
      </w:r>
      <w:r>
        <w:rPr>
          <w:i/>
        </w:rPr>
        <w:t>s</w:t>
      </w:r>
      <w:r>
        <w:rPr>
          <w:i/>
        </w:rPr>
        <w:t>u</w:t>
      </w:r>
      <w:r>
        <w:rPr>
          <w:i/>
        </w:rPr>
        <w:t>pra</w:t>
      </w:r>
      <w:r>
        <w:t>, has been employed since 1986. Furthermore, even were this court to find that after 15 years PCR-based testing remains new or novel, general acceptance has been previously d</w:t>
      </w:r>
      <w:r>
        <w:t>e</w:t>
      </w:r>
      <w:r>
        <w:t xml:space="preserve">termined at numerous scientific and legal junctures. </w:t>
      </w:r>
    </w:p>
    <w:p w14:paraId="57B1B8FA" w14:textId="77777777" w:rsidR="00DB1140" w:rsidRDefault="00DB1140" w:rsidP="00DB1140">
      <w:pPr>
        <w:pStyle w:val="BodyText"/>
        <w:jc w:val="both"/>
      </w:pPr>
      <w:r>
        <w:tab/>
        <w:t xml:space="preserve">The National Research Council of the National Academy of Sciences, in its report, </w:t>
      </w:r>
      <w:r>
        <w:rPr>
          <w:i/>
        </w:rPr>
        <w:t>DNA Technology in Forensic Science</w:t>
      </w:r>
      <w:r>
        <w:t>, endorsed forensic uses of DNA typing technologies, including PCR-based analysis. In particular, the report states:</w:t>
      </w:r>
    </w:p>
    <w:p w14:paraId="5812224A" w14:textId="77777777" w:rsidR="00DB1140" w:rsidRDefault="00DB1140" w:rsidP="00DB1140">
      <w:pPr>
        <w:pStyle w:val="BodyText"/>
        <w:jc w:val="both"/>
      </w:pPr>
      <w:r>
        <w:t>"Regarding the underlying principles, there is, as we have noted, no longer any question concerning the principle that DNA can be used to obtain identification information; admissibility hearings need no longer address the question. R</w:t>
      </w:r>
      <w:r>
        <w:t>e</w:t>
      </w:r>
      <w:r>
        <w:t>garding the particular method for applying the principle, the inquiry will d</w:t>
      </w:r>
      <w:r>
        <w:t>e</w:t>
      </w:r>
      <w:r>
        <w:t xml:space="preserve">pend on the </w:t>
      </w:r>
      <w:r>
        <w:rPr>
          <w:b/>
        </w:rPr>
        <w:t>new method or technology</w:t>
      </w:r>
      <w:r>
        <w:t xml:space="preserve">. . . In each case, the court can properly limit the inquiry to the </w:t>
      </w:r>
      <w:r>
        <w:rPr>
          <w:b/>
        </w:rPr>
        <w:t>substantially novel aspects</w:t>
      </w:r>
      <w:r>
        <w:t xml:space="preserve"> of the technology, focusing on whether the method is a</w:t>
      </w:r>
      <w:r>
        <w:t>c</w:t>
      </w:r>
      <w:r>
        <w:t>cepted for scientific applications and whether it has been validated for forensic identification." (</w:t>
      </w:r>
      <w:r>
        <w:rPr>
          <w:i/>
        </w:rPr>
        <w:t>DNA Technology in Forensic Sc</w:t>
      </w:r>
      <w:r>
        <w:rPr>
          <w:i/>
        </w:rPr>
        <w:t>i</w:t>
      </w:r>
      <w:r>
        <w:rPr>
          <w:i/>
        </w:rPr>
        <w:t>ence</w:t>
      </w:r>
      <w:r>
        <w:t>, National Research Council (U.S.), National Academy of Sciences, 1992, at pp. 144-145 [Exhibit 7, attached]; emphasis added.)</w:t>
      </w:r>
    </w:p>
    <w:p w14:paraId="4ABA580F" w14:textId="77777777" w:rsidR="00DB1140" w:rsidRDefault="00DB1140" w:rsidP="00DB1140">
      <w:pPr>
        <w:pStyle w:val="BodyText"/>
        <w:jc w:val="both"/>
      </w:pPr>
      <w:r>
        <w:tab/>
        <w:t>State supreme and intermediate appellate court opinions approving the admissibility of PCR-based typing exist in more than one-half the states of this country and have been chron</w:t>
      </w:r>
      <w:r>
        <w:t>i</w:t>
      </w:r>
      <w:r>
        <w:t>cled in detail elsewhere. In addition, California case law has resolved the admissibility of PCR-based forensic typing. The First District, in an opinion delivered in March 1996, co</w:t>
      </w:r>
      <w:r>
        <w:t>n</w:t>
      </w:r>
      <w:r>
        <w:t xml:space="preserve">cluded that PCR-based forensic testing meets the </w:t>
      </w:r>
      <w:r>
        <w:rPr>
          <w:i/>
        </w:rPr>
        <w:t>Frye</w:t>
      </w:r>
      <w:r>
        <w:t xml:space="preserve"> general acceptance standard. (</w:t>
      </w:r>
      <w:r>
        <w:rPr>
          <w:i/>
        </w:rPr>
        <w:t xml:space="preserve">People v. </w:t>
      </w:r>
      <w:proofErr w:type="spellStart"/>
      <w:r>
        <w:rPr>
          <w:i/>
        </w:rPr>
        <w:t>Morganti</w:t>
      </w:r>
      <w:proofErr w:type="spellEnd"/>
      <w:r>
        <w:t xml:space="preserve"> (</w:t>
      </w:r>
      <w:proofErr w:type="spellStart"/>
      <w:r>
        <w:t>Cal.App</w:t>
      </w:r>
      <w:proofErr w:type="spellEnd"/>
      <w:r>
        <w:t>. 1996) 43 Cal.App.4th 643, 671.) Specifically, the Court of Appeal co</w:t>
      </w:r>
      <w:r>
        <w:t>n</w:t>
      </w:r>
      <w:r>
        <w:t>cluded:</w:t>
      </w:r>
    </w:p>
    <w:p w14:paraId="69D115DB" w14:textId="77777777" w:rsidR="00DB1140" w:rsidRDefault="00DB1140" w:rsidP="00DB1140">
      <w:pPr>
        <w:pStyle w:val="BodyText"/>
        <w:jc w:val="both"/>
      </w:pPr>
      <w:r>
        <w:t xml:space="preserve"> "In ruling that PCR analysis of the DQ alpha gene is generally accepted in the relevant scientific field, the trial court relied on expert testimony of two wi</w:t>
      </w:r>
      <w:r>
        <w:t>t</w:t>
      </w:r>
      <w:r>
        <w:t>nesses and extensive documentary evidence. The court found there is no significant controversy or dispute with respect to the reliabi</w:t>
      </w:r>
      <w:r>
        <w:t>l</w:t>
      </w:r>
      <w:r>
        <w:t>ity of this method and that the evidence did not indicate any flaw in the method or its use. Our review of the record confirms these findings." (</w:t>
      </w:r>
      <w:r>
        <w:rPr>
          <w:i/>
        </w:rPr>
        <w:t xml:space="preserve">People v. </w:t>
      </w:r>
      <w:proofErr w:type="spellStart"/>
      <w:r>
        <w:rPr>
          <w:i/>
        </w:rPr>
        <w:t>Morganti</w:t>
      </w:r>
      <w:proofErr w:type="spellEnd"/>
      <w:r>
        <w:t xml:space="preserve">, </w:t>
      </w:r>
      <w:r>
        <w:rPr>
          <w:i/>
        </w:rPr>
        <w:t>supra</w:t>
      </w:r>
      <w:r>
        <w:t>, at p. 663.)</w:t>
      </w:r>
    </w:p>
    <w:p w14:paraId="15406DAB" w14:textId="77777777" w:rsidR="00DB1140" w:rsidRDefault="00DB1140" w:rsidP="00DB1140">
      <w:pPr>
        <w:pStyle w:val="BodyText"/>
        <w:jc w:val="both"/>
      </w:pPr>
      <w:r>
        <w:tab/>
        <w:t>The same court of appeal delivered a subsequent opinion in 1998 regarding the conti</w:t>
      </w:r>
      <w:r>
        <w:t>n</w:t>
      </w:r>
      <w:r>
        <w:t xml:space="preserve">ued litigation of admissibility of forensic PCR-based DNA typing results. That court, in </w:t>
      </w:r>
      <w:r>
        <w:rPr>
          <w:i/>
        </w:rPr>
        <w:t>Pe</w:t>
      </w:r>
      <w:r>
        <w:rPr>
          <w:i/>
        </w:rPr>
        <w:t>o</w:t>
      </w:r>
      <w:r>
        <w:rPr>
          <w:i/>
        </w:rPr>
        <w:t>ple v. Wright</w:t>
      </w:r>
      <w:r>
        <w:t xml:space="preserve"> (1998) 62 Cal.App.4th 31, approved admissibility of both DQ-Alpha and </w:t>
      </w:r>
      <w:proofErr w:type="spellStart"/>
      <w:r>
        <w:t>Pol</w:t>
      </w:r>
      <w:r>
        <w:t>y</w:t>
      </w:r>
      <w:r>
        <w:t>marker</w:t>
      </w:r>
      <w:proofErr w:type="spellEnd"/>
      <w:r>
        <w:t xml:space="preserve"> genetic marker typing results [five additional genetic markers typed following use of the PCR amplification process]. (</w:t>
      </w:r>
      <w:r>
        <w:rPr>
          <w:i/>
        </w:rPr>
        <w:t>People v. Wright</w:t>
      </w:r>
      <w:r>
        <w:t xml:space="preserve">, </w:t>
      </w:r>
      <w:r>
        <w:rPr>
          <w:i/>
        </w:rPr>
        <w:t>supra</w:t>
      </w:r>
      <w:r>
        <w:t>, at p. 41.)</w:t>
      </w:r>
    </w:p>
    <w:p w14:paraId="63BBFD4E" w14:textId="77777777" w:rsidR="00DB1140" w:rsidRDefault="00DB1140" w:rsidP="00DB1140">
      <w:pPr>
        <w:pStyle w:val="BodyText"/>
        <w:jc w:val="both"/>
      </w:pPr>
      <w:r>
        <w:tab/>
        <w:t>Importantly, the court of appeal underscored the fact that continued litigation of fore</w:t>
      </w:r>
      <w:r>
        <w:t>n</w:t>
      </w:r>
      <w:r>
        <w:t>sic PCR-based typing admissibility was unnecessary. Specifically, the court stated:</w:t>
      </w:r>
      <w:r>
        <w:tab/>
      </w:r>
    </w:p>
    <w:p w14:paraId="3DF17E6A" w14:textId="77777777" w:rsidR="00DB1140" w:rsidRDefault="00DB1140" w:rsidP="00DB1140">
      <w:pPr>
        <w:pStyle w:val="BodyText"/>
        <w:ind w:left="720"/>
        <w:jc w:val="both"/>
      </w:pPr>
      <w:r>
        <w:tab/>
        <w:t>"Our trial courts will no longer need to expend valuable time and r</w:t>
      </w:r>
      <w:r>
        <w:t>e</w:t>
      </w:r>
      <w:r>
        <w:t xml:space="preserve">sources on repetitive </w:t>
      </w:r>
      <w:r>
        <w:rPr>
          <w:i/>
        </w:rPr>
        <w:t>Kelly</w:t>
      </w:r>
      <w:r>
        <w:t>-</w:t>
      </w:r>
      <w:r>
        <w:rPr>
          <w:i/>
        </w:rPr>
        <w:t>Frye</w:t>
      </w:r>
      <w:r>
        <w:t xml:space="preserve"> hearings directed to this issue of the admissibility of DNA evidence derived from the PCR method, as the trial court was forced to do in this case, now that the well-reasoned </w:t>
      </w:r>
      <w:proofErr w:type="spellStart"/>
      <w:r>
        <w:rPr>
          <w:i/>
        </w:rPr>
        <w:t>Morganti</w:t>
      </w:r>
      <w:proofErr w:type="spellEnd"/>
      <w:r>
        <w:t xml:space="preserve"> decision has become f</w:t>
      </w:r>
      <w:r>
        <w:t>i</w:t>
      </w:r>
      <w:r>
        <w:t>nal. [Fn. omitted.] Issues as to the proper weight to be accorded to such ev</w:t>
      </w:r>
      <w:r>
        <w:t>i</w:t>
      </w:r>
      <w:r>
        <w:t xml:space="preserve">dence are for the jury, and may not be avoided by attempts to recast such jury issue as </w:t>
      </w:r>
      <w:r>
        <w:rPr>
          <w:i/>
        </w:rPr>
        <w:t>Kelly</w:t>
      </w:r>
      <w:r>
        <w:t>-</w:t>
      </w:r>
      <w:r>
        <w:rPr>
          <w:i/>
        </w:rPr>
        <w:t>Frye</w:t>
      </w:r>
      <w:r>
        <w:t xml:space="preserve"> issues." (</w:t>
      </w:r>
      <w:r>
        <w:rPr>
          <w:i/>
        </w:rPr>
        <w:t>People v. Wright</w:t>
      </w:r>
      <w:r>
        <w:t xml:space="preserve">, </w:t>
      </w:r>
      <w:r>
        <w:rPr>
          <w:i/>
        </w:rPr>
        <w:t>supra</w:t>
      </w:r>
      <w:r>
        <w:t>, at pp. 42.)</w:t>
      </w:r>
    </w:p>
    <w:p w14:paraId="748B839E" w14:textId="77777777" w:rsidR="00DB1140" w:rsidRDefault="00DB1140" w:rsidP="00DB1140">
      <w:pPr>
        <w:pStyle w:val="BodyText"/>
        <w:ind w:left="720"/>
        <w:jc w:val="both"/>
      </w:pPr>
    </w:p>
    <w:p w14:paraId="27453FCF" w14:textId="77777777" w:rsidR="00DB1140" w:rsidRDefault="00DB1140" w:rsidP="00DB1140">
      <w:pPr>
        <w:pStyle w:val="BodyText"/>
        <w:jc w:val="both"/>
      </w:pPr>
      <w:r>
        <w:rPr>
          <w:sz w:val="26"/>
        </w:rPr>
        <w:tab/>
      </w:r>
      <w:r>
        <w:t>Evidence sought to be introduced by the People in the present case, as noted above, consists of PCR-based typing results derived from canine mitochondrial DNA. Mitocho</w:t>
      </w:r>
      <w:r>
        <w:t>n</w:t>
      </w:r>
      <w:r>
        <w:t>drial DNA, unlike nuclear DNA, is both inherited maternally and contained within the cell, but ou</w:t>
      </w:r>
      <w:r>
        <w:t>t</w:t>
      </w:r>
      <w:r>
        <w:t>side the nucleus. While the People do not agree with defendant that canine mitocho</w:t>
      </w:r>
      <w:r>
        <w:t>n</w:t>
      </w:r>
      <w:r>
        <w:t>drial DNA typing is sufficiently new or novel to require admissibility inquiry by this court [see di</w:t>
      </w:r>
      <w:r>
        <w:t>s</w:t>
      </w:r>
      <w:r>
        <w:t xml:space="preserve">cussion, </w:t>
      </w:r>
      <w:r>
        <w:rPr>
          <w:i/>
        </w:rPr>
        <w:t>infra</w:t>
      </w:r>
      <w:r>
        <w:t xml:space="preserve">], evidence to be presented this court – and case law outside the </w:t>
      </w:r>
      <w:proofErr w:type="spellStart"/>
      <w:r>
        <w:t>jurisidi</w:t>
      </w:r>
      <w:r>
        <w:t>c</w:t>
      </w:r>
      <w:r>
        <w:t>tion</w:t>
      </w:r>
      <w:proofErr w:type="spellEnd"/>
      <w:r>
        <w:t xml:space="preserve"> of California – amply demonstrate general acceptance and admissibility of mit</w:t>
      </w:r>
      <w:r>
        <w:t>o</w:t>
      </w:r>
      <w:r>
        <w:t>chondrial DNA testing, whether human or animal.</w:t>
      </w:r>
    </w:p>
    <w:p w14:paraId="26ADA1F9" w14:textId="77777777" w:rsidR="00DB1140" w:rsidRDefault="00DB1140" w:rsidP="00DB1140">
      <w:pPr>
        <w:pStyle w:val="BodyText"/>
        <w:jc w:val="both"/>
      </w:pPr>
      <w:r>
        <w:tab/>
        <w:t>Mitochondrial DNA testing has been exploited for more than 20 years (</w:t>
      </w:r>
      <w:r>
        <w:rPr>
          <w:i/>
        </w:rPr>
        <w:t>The Future of Forensic DNA Testing: Predictions of the Research and Development Working Group</w:t>
      </w:r>
      <w:r>
        <w:t>, N</w:t>
      </w:r>
      <w:r>
        <w:t>a</w:t>
      </w:r>
      <w:r>
        <w:t>tional Commission on the Future of DNA Evidence, U.S. Department of Justice, November 2000, pp. 18-19, 46-47.) The 1996 report of the National Research Council noted the usefu</w:t>
      </w:r>
      <w:r>
        <w:t>l</w:t>
      </w:r>
      <w:r>
        <w:t>ness of mitochondrial typing and concluded in 1996 that f</w:t>
      </w:r>
      <w:r>
        <w:t>o</w:t>
      </w:r>
      <w:r>
        <w:t xml:space="preserve">rensic mitochondrial DNA testing techniques </w:t>
      </w:r>
      <w:proofErr w:type="spellStart"/>
      <w:r>
        <w:t>ave</w:t>
      </w:r>
      <w:proofErr w:type="spellEnd"/>
      <w:r>
        <w:t xml:space="preserve"> been scientifically validated. (</w:t>
      </w:r>
      <w:r>
        <w:rPr>
          <w:i/>
        </w:rPr>
        <w:t>The Evaluation of Forensic DNA Evidence</w:t>
      </w:r>
      <w:r>
        <w:t>, National Research Council (U.S.), National Academy of Sc</w:t>
      </w:r>
      <w:r>
        <w:t>i</w:t>
      </w:r>
      <w:r>
        <w:t>ences, 1996, at pp. 72-73.)</w:t>
      </w:r>
    </w:p>
    <w:p w14:paraId="6E2B82A7" w14:textId="77777777" w:rsidR="00DB1140" w:rsidRDefault="00DB1140" w:rsidP="00DB1140">
      <w:pPr>
        <w:pStyle w:val="BodyText"/>
        <w:jc w:val="both"/>
      </w:pPr>
      <w:r>
        <w:tab/>
        <w:t>Significantly, the Supreme Courts of South Carolina, Tennessee, and Connect</w:t>
      </w:r>
      <w:r>
        <w:t>i</w:t>
      </w:r>
      <w:r>
        <w:t>cut, and a court of appeal in North Carolina have approved the admissibility of mitochondrial DNA typing. Those courts have collectively concluded that mitochondrial typing is admiss</w:t>
      </w:r>
      <w:r>
        <w:t>i</w:t>
      </w:r>
      <w:r>
        <w:t>ble by statute, relevant, reliable, validated, and generally accepted within the scientific co</w:t>
      </w:r>
      <w:r>
        <w:t>m</w:t>
      </w:r>
      <w:r>
        <w:t>munity. (</w:t>
      </w:r>
      <w:r>
        <w:rPr>
          <w:i/>
        </w:rPr>
        <w:t>State v. Council</w:t>
      </w:r>
      <w:r>
        <w:t xml:space="preserve"> (S.C. 1999) 515 S.E.2d 508, 517-518; </w:t>
      </w:r>
      <w:r>
        <w:rPr>
          <w:i/>
        </w:rPr>
        <w:t>State v. Scott</w:t>
      </w:r>
      <w:r>
        <w:t xml:space="preserve"> (Tenn. 2000) 33 S.W.3d 746, 757-760; </w:t>
      </w:r>
      <w:r>
        <w:rPr>
          <w:i/>
        </w:rPr>
        <w:t xml:space="preserve">State v. Pappas </w:t>
      </w:r>
      <w:r>
        <w:t xml:space="preserve">(Conn. 2001) 776 A.2d 1091, 1108-1109; </w:t>
      </w:r>
      <w:r>
        <w:rPr>
          <w:i/>
        </w:rPr>
        <w:t>State v. U</w:t>
      </w:r>
      <w:r>
        <w:rPr>
          <w:i/>
        </w:rPr>
        <w:t>n</w:t>
      </w:r>
      <w:r>
        <w:rPr>
          <w:i/>
        </w:rPr>
        <w:t>derwood</w:t>
      </w:r>
      <w:r>
        <w:t xml:space="preserve"> (</w:t>
      </w:r>
      <w:proofErr w:type="spellStart"/>
      <w:r>
        <w:t>N.C.App</w:t>
      </w:r>
      <w:proofErr w:type="spellEnd"/>
      <w:r>
        <w:t>. 1999) 518 S.E.2d 231, 239-240.)</w:t>
      </w:r>
    </w:p>
    <w:p w14:paraId="16403F86" w14:textId="77777777" w:rsidR="00DB1140" w:rsidRDefault="00DB1140" w:rsidP="00DB1140">
      <w:pPr>
        <w:pStyle w:val="BodyText"/>
        <w:jc w:val="both"/>
      </w:pPr>
      <w:r>
        <w:tab/>
        <w:t>Evidence to be presented by the People will amply demonstrate general acce</w:t>
      </w:r>
      <w:r>
        <w:t>p</w:t>
      </w:r>
      <w:r>
        <w:t>tance and appropriate admissibility of canine mitochondrial testing in the instant case.</w:t>
      </w:r>
    </w:p>
    <w:p w14:paraId="39D1BF16" w14:textId="77777777" w:rsidR="00DB1140" w:rsidRDefault="00DB1140" w:rsidP="00DB1140">
      <w:pPr>
        <w:pStyle w:val="BodyText"/>
        <w:jc w:val="both"/>
      </w:pPr>
    </w:p>
    <w:p w14:paraId="3E9C8CCE" w14:textId="77777777" w:rsidR="00DB1140" w:rsidRDefault="00DB1140" w:rsidP="00DB1140">
      <w:pPr>
        <w:pStyle w:val="BodyText"/>
        <w:jc w:val="center"/>
        <w:rPr>
          <w:b/>
          <w:sz w:val="26"/>
        </w:rPr>
      </w:pPr>
      <w:r>
        <w:rPr>
          <w:b/>
          <w:sz w:val="26"/>
        </w:rPr>
        <w:t>II</w:t>
      </w:r>
    </w:p>
    <w:p w14:paraId="16D27E33" w14:textId="77777777" w:rsidR="00DB1140" w:rsidRDefault="00DB1140" w:rsidP="00DB1140">
      <w:pPr>
        <w:pStyle w:val="BodyText"/>
        <w:jc w:val="center"/>
        <w:rPr>
          <w:b/>
        </w:rPr>
      </w:pPr>
      <w:r>
        <w:rPr>
          <w:b/>
        </w:rPr>
        <w:t>"CORRECT SCIENTIFIC PROCEDURES"</w:t>
      </w:r>
    </w:p>
    <w:p w14:paraId="24402952" w14:textId="77777777" w:rsidR="00DB1140" w:rsidRDefault="00DB1140" w:rsidP="00DB1140">
      <w:pPr>
        <w:pStyle w:val="BodyText"/>
        <w:jc w:val="center"/>
        <w:rPr>
          <w:b/>
          <w:i/>
        </w:rPr>
      </w:pPr>
      <w:r>
        <w:rPr>
          <w:b/>
        </w:rPr>
        <w:t xml:space="preserve">AND THE PROPER SCOPE OF </w:t>
      </w:r>
      <w:r>
        <w:rPr>
          <w:b/>
          <w:i/>
        </w:rPr>
        <w:t>KELLY</w:t>
      </w:r>
    </w:p>
    <w:p w14:paraId="4C7DEA82" w14:textId="77777777" w:rsidR="00DB1140" w:rsidRDefault="00DB1140" w:rsidP="00DB1140">
      <w:pPr>
        <w:pStyle w:val="BodyText"/>
        <w:jc w:val="center"/>
      </w:pPr>
    </w:p>
    <w:p w14:paraId="159A4E27" w14:textId="77777777" w:rsidR="00DB1140" w:rsidRDefault="00DB1140" w:rsidP="00DB1140">
      <w:pPr>
        <w:pStyle w:val="BodyText"/>
        <w:jc w:val="both"/>
      </w:pPr>
      <w:r>
        <w:tab/>
        <w:t xml:space="preserve">The </w:t>
      </w:r>
      <w:r>
        <w:rPr>
          <w:i/>
        </w:rPr>
        <w:t>Kelly</w:t>
      </w:r>
      <w:r>
        <w:t xml:space="preserve"> court added an additional inquiry in its 1976 decision, requiring the prop</w:t>
      </w:r>
      <w:r>
        <w:t>o</w:t>
      </w:r>
      <w:r>
        <w:t>nent to demonstrate that "correct scientific procedures" were used in the testing conducted in the particular case. (</w:t>
      </w:r>
      <w:r>
        <w:rPr>
          <w:i/>
        </w:rPr>
        <w:t>People v. Kelly</w:t>
      </w:r>
      <w:r>
        <w:t xml:space="preserve">, </w:t>
      </w:r>
      <w:r>
        <w:rPr>
          <w:i/>
        </w:rPr>
        <w:t>supra</w:t>
      </w:r>
      <w:r>
        <w:t>, at p. 30.) Some trial and appellate courts have i</w:t>
      </w:r>
      <w:r>
        <w:t>m</w:t>
      </w:r>
      <w:r>
        <w:t xml:space="preserve">properly interpreted this provision to mandate that the procedures were employed "correctly" rather than that "correct" procedures were used. </w:t>
      </w:r>
    </w:p>
    <w:p w14:paraId="5BB4E83C" w14:textId="77777777" w:rsidR="00DB1140" w:rsidRDefault="00DB1140" w:rsidP="00DB1140">
      <w:pPr>
        <w:pStyle w:val="BodyText"/>
        <w:jc w:val="both"/>
      </w:pPr>
      <w:r>
        <w:tab/>
        <w:t xml:space="preserve">The California Supreme Court in </w:t>
      </w:r>
      <w:r>
        <w:rPr>
          <w:i/>
        </w:rPr>
        <w:t>People v. Farmer</w:t>
      </w:r>
      <w:r>
        <w:t xml:space="preserve"> (1989) 47 Cal.3d 888, was co</w:t>
      </w:r>
      <w:r>
        <w:t>n</w:t>
      </w:r>
      <w:r>
        <w:t>fronted with a defense contention that footprint evidence was improperly seized and pr</w:t>
      </w:r>
      <w:r>
        <w:t>e</w:t>
      </w:r>
      <w:r>
        <w:t xml:space="preserve">served, in violation of the requirements of </w:t>
      </w:r>
      <w:r>
        <w:rPr>
          <w:i/>
        </w:rPr>
        <w:t>Kelly</w:t>
      </w:r>
      <w:r>
        <w:t>-</w:t>
      </w:r>
      <w:r>
        <w:rPr>
          <w:i/>
        </w:rPr>
        <w:t>Frye</w:t>
      </w:r>
      <w:r>
        <w:t>. The court concluded the argument was without merit. Specifically, the court stated:</w:t>
      </w:r>
    </w:p>
    <w:p w14:paraId="463E3D3C" w14:textId="77777777" w:rsidR="00DB1140" w:rsidRDefault="00DB1140" w:rsidP="00DB1140">
      <w:pPr>
        <w:pStyle w:val="BodyText"/>
        <w:jc w:val="both"/>
      </w:pPr>
      <w:r>
        <w:t xml:space="preserve">". . . the </w:t>
      </w:r>
      <w:r>
        <w:rPr>
          <w:i/>
        </w:rPr>
        <w:t>Kelly</w:t>
      </w:r>
      <w:r>
        <w:t>-</w:t>
      </w:r>
      <w:r>
        <w:rPr>
          <w:i/>
        </w:rPr>
        <w:t>Frye</w:t>
      </w:r>
      <w:r>
        <w:t xml:space="preserve"> rule tests the fundamental validity of a new scientific methodology, not the degree of professionalism with which it is applied. (See, e.g., </w:t>
      </w:r>
      <w:r>
        <w:rPr>
          <w:i/>
        </w:rPr>
        <w:t>People v. Coleman</w:t>
      </w:r>
      <w:r>
        <w:t xml:space="preserve"> [(1988) 46 Cal.3d 749], at p. 775.)  Car</w:t>
      </w:r>
      <w:r>
        <w:t>e</w:t>
      </w:r>
      <w:r>
        <w:t>less testing a</w:t>
      </w:r>
      <w:r>
        <w:t>f</w:t>
      </w:r>
      <w:r>
        <w:t>fects the weight of the evidence and not its admissibility, and must be attacked on cross-examination or by other expert testimony." (</w:t>
      </w:r>
      <w:r>
        <w:rPr>
          <w:i/>
        </w:rPr>
        <w:t>People v. Farmer</w:t>
      </w:r>
      <w:r>
        <w:t xml:space="preserve">, </w:t>
      </w:r>
      <w:r>
        <w:rPr>
          <w:i/>
        </w:rPr>
        <w:t>supra</w:t>
      </w:r>
      <w:r>
        <w:t>, at p. 913.)</w:t>
      </w:r>
    </w:p>
    <w:p w14:paraId="5CBFEECD" w14:textId="77777777" w:rsidR="00DB1140" w:rsidRDefault="00DB1140" w:rsidP="00DB1140">
      <w:pPr>
        <w:pStyle w:val="BodyText"/>
        <w:jc w:val="both"/>
      </w:pPr>
      <w:r>
        <w:tab/>
        <w:t xml:space="preserve">Similarly, in a defense-mounted attack on the use of electrophoresis in protein genetic marker typing, the First District concluded the </w:t>
      </w:r>
      <w:r>
        <w:rPr>
          <w:i/>
        </w:rPr>
        <w:t>Farmer</w:t>
      </w:r>
      <w:r>
        <w:t xml:space="preserve"> rationale was determinative. In partic</w:t>
      </w:r>
      <w:r>
        <w:t>u</w:t>
      </w:r>
      <w:r>
        <w:t>lar, the court of appeal noted:</w:t>
      </w:r>
    </w:p>
    <w:p w14:paraId="4A391DAA" w14:textId="77777777" w:rsidR="00DB1140" w:rsidRDefault="00DB1140" w:rsidP="00DB1140">
      <w:pPr>
        <w:pStyle w:val="BodyText"/>
        <w:jc w:val="both"/>
      </w:pPr>
      <w:r>
        <w:t>"Much of appellant's argument at this level is directed towards a pe</w:t>
      </w:r>
      <w:r>
        <w:t>r</w:t>
      </w:r>
      <w:r>
        <w:t>ceived bias on the part of Mr. Keel, as well as alleged careless testing procedures on the part of the Oakland Police Department Laboratory. `Careless testing affects the weight of the evidence and not its admissibi</w:t>
      </w:r>
      <w:r>
        <w:t>l</w:t>
      </w:r>
      <w:r>
        <w:t>ity, and must be attacked on cross-examination or by other expert te</w:t>
      </w:r>
      <w:r>
        <w:t>s</w:t>
      </w:r>
      <w:r>
        <w:t>timony.' (</w:t>
      </w:r>
      <w:r>
        <w:rPr>
          <w:i/>
        </w:rPr>
        <w:t>People v. Farmer</w:t>
      </w:r>
      <w:r>
        <w:t xml:space="preserve"> (1989) 47 Cal.3d 888, 913.)" (</w:t>
      </w:r>
      <w:r>
        <w:rPr>
          <w:i/>
        </w:rPr>
        <w:t>People v. Smith</w:t>
      </w:r>
      <w:r>
        <w:t xml:space="preserve"> (1989) 215 Cal.App.3d 19, 28.)</w:t>
      </w:r>
    </w:p>
    <w:p w14:paraId="0C33F1E1" w14:textId="77777777" w:rsidR="00DB1140" w:rsidRDefault="00DB1140" w:rsidP="00DB1140">
      <w:pPr>
        <w:pStyle w:val="BodyText"/>
        <w:jc w:val="both"/>
      </w:pPr>
      <w:r>
        <w:tab/>
        <w:t>More recently, the California Supreme Court has reaffirmed the fact that the manner in which testing is conducted does not bear on admissibility. In a death penalty blood and saliva stain protein analysis case, challenge was made to the admission of evidence based on alleged infirmity in the tes</w:t>
      </w:r>
      <w:r>
        <w:t>t</w:t>
      </w:r>
      <w:r>
        <w:t xml:space="preserve">ing process. The Supreme Court dismissed the contention, concluding that the </w:t>
      </w:r>
      <w:r>
        <w:rPr>
          <w:i/>
        </w:rPr>
        <w:t>Farmer-Smith</w:t>
      </w:r>
      <w:r>
        <w:t xml:space="preserve"> ratio</w:t>
      </w:r>
      <w:r>
        <w:t>n</w:t>
      </w:r>
      <w:r>
        <w:t>ale was correct. (</w:t>
      </w:r>
      <w:r>
        <w:rPr>
          <w:i/>
        </w:rPr>
        <w:t>People v. Cooper</w:t>
      </w:r>
      <w:r>
        <w:t xml:space="preserve"> (1991) 53 Cal.3d 771, 814.)</w:t>
      </w:r>
    </w:p>
    <w:p w14:paraId="3FD30687" w14:textId="77777777" w:rsidR="00DB1140" w:rsidRDefault="00DB1140" w:rsidP="00DB1140">
      <w:pPr>
        <w:pStyle w:val="BodyText"/>
        <w:jc w:val="both"/>
      </w:pPr>
      <w:r>
        <w:tab/>
        <w:t xml:space="preserve">The question of the scope of the third prong of </w:t>
      </w:r>
      <w:r>
        <w:rPr>
          <w:i/>
        </w:rPr>
        <w:t>Kelly-Frye</w:t>
      </w:r>
      <w:r>
        <w:t xml:space="preserve"> with respect to DNA typing ev</w:t>
      </w:r>
      <w:r>
        <w:t>i</w:t>
      </w:r>
      <w:r>
        <w:t xml:space="preserve">dence has been addressed in California. The Court of Appeal in </w:t>
      </w:r>
      <w:r>
        <w:rPr>
          <w:i/>
        </w:rPr>
        <w:t xml:space="preserve">People v. </w:t>
      </w:r>
      <w:proofErr w:type="spellStart"/>
      <w:r>
        <w:rPr>
          <w:i/>
        </w:rPr>
        <w:t>Morganti</w:t>
      </w:r>
      <w:proofErr w:type="spellEnd"/>
      <w:r>
        <w:t xml:space="preserve">, </w:t>
      </w:r>
      <w:r>
        <w:rPr>
          <w:i/>
        </w:rPr>
        <w:t xml:space="preserve">supra, </w:t>
      </w:r>
      <w:r>
        <w:t>responding to a challenge that the People failed to properly establish the use of correct proc</w:t>
      </w:r>
      <w:r>
        <w:t>e</w:t>
      </w:r>
      <w:r>
        <w:t>dures, noted:</w:t>
      </w:r>
    </w:p>
    <w:p w14:paraId="1DAE2EF4" w14:textId="77777777" w:rsidR="00DB1140" w:rsidRDefault="00DB1140" w:rsidP="00DB1140">
      <w:pPr>
        <w:pStyle w:val="BodyText"/>
        <w:jc w:val="both"/>
      </w:pPr>
    </w:p>
    <w:p w14:paraId="3E4C0C2D" w14:textId="77777777" w:rsidR="00DB1140" w:rsidRDefault="00DB1140" w:rsidP="00DB1140">
      <w:pPr>
        <w:pStyle w:val="BodyText"/>
        <w:ind w:left="720"/>
        <w:jc w:val="both"/>
      </w:pPr>
      <w:r>
        <w:tab/>
        <w:t>". . .[</w:t>
      </w:r>
      <w:proofErr w:type="spellStart"/>
      <w:r>
        <w:t>W]hen</w:t>
      </w:r>
      <w:proofErr w:type="spellEnd"/>
      <w:r>
        <w:t xml:space="preserve"> general acceptance is established by precedent, the `third-prong hearing' that must be conducted will not approach the `complexity of a full-blown' </w:t>
      </w:r>
      <w:r>
        <w:rPr>
          <w:i/>
        </w:rPr>
        <w:t>Kelly</w:t>
      </w:r>
      <w:r>
        <w:t xml:space="preserve"> hearing. ([</w:t>
      </w:r>
      <w:r>
        <w:rPr>
          <w:i/>
        </w:rPr>
        <w:t>People v. Barney</w:t>
      </w:r>
      <w:r>
        <w:t xml:space="preserve">, </w:t>
      </w:r>
      <w:r>
        <w:rPr>
          <w:i/>
        </w:rPr>
        <w:t>supra</w:t>
      </w:r>
      <w:r>
        <w:t>, at p. 825].) `All that is nece</w:t>
      </w:r>
      <w:r>
        <w:t>s</w:t>
      </w:r>
      <w:r>
        <w:t>sary in the limited third-prong hearing is a foundational showing that correct scientific procedures were used.' (</w:t>
      </w:r>
      <w:r>
        <w:rPr>
          <w:i/>
        </w:rPr>
        <w:t>Ibid</w:t>
      </w:r>
      <w:r>
        <w:t>.) The trial court properly found that the prosecution made the necessary found</w:t>
      </w:r>
      <w:r>
        <w:t>a</w:t>
      </w:r>
      <w:r>
        <w:t xml:space="preserve">tional showing. Not only did </w:t>
      </w:r>
      <w:proofErr w:type="spellStart"/>
      <w:r>
        <w:t>Harmor</w:t>
      </w:r>
      <w:proofErr w:type="spellEnd"/>
      <w:r>
        <w:t xml:space="preserve"> testify that he followed established procedure or protocol, his testimony establishes that he followed the e</w:t>
      </w:r>
      <w:r>
        <w:t>x</w:t>
      </w:r>
      <w:r>
        <w:t xml:space="preserve">act procedures that were deemed correct in </w:t>
      </w:r>
      <w:r>
        <w:rPr>
          <w:i/>
        </w:rPr>
        <w:t>Yorba</w:t>
      </w:r>
      <w:r>
        <w:t xml:space="preserve"> [</w:t>
      </w:r>
      <w:r>
        <w:rPr>
          <w:i/>
        </w:rPr>
        <w:t>People v. Yorba</w:t>
      </w:r>
      <w:r>
        <w:t xml:space="preserve"> (1989) 209 Cal.App.3d 1017].)" (</w:t>
      </w:r>
      <w:r>
        <w:rPr>
          <w:i/>
        </w:rPr>
        <w:t xml:space="preserve">People v. </w:t>
      </w:r>
      <w:proofErr w:type="spellStart"/>
      <w:r>
        <w:rPr>
          <w:i/>
        </w:rPr>
        <w:t>Morganti</w:t>
      </w:r>
      <w:proofErr w:type="spellEnd"/>
      <w:r>
        <w:t xml:space="preserve">, </w:t>
      </w:r>
      <w:r>
        <w:rPr>
          <w:i/>
        </w:rPr>
        <w:t>supra</w:t>
      </w:r>
      <w:r>
        <w:t xml:space="preserve">, at pp. 661-662; see also </w:t>
      </w:r>
      <w:r>
        <w:rPr>
          <w:i/>
        </w:rPr>
        <w:t>People v. Hill, supra,</w:t>
      </w:r>
      <w:r>
        <w:t xml:space="preserve"> at p. 58.)</w:t>
      </w:r>
    </w:p>
    <w:p w14:paraId="067BE368" w14:textId="77777777" w:rsidR="00DB1140" w:rsidRDefault="00DB1140" w:rsidP="00DB1140">
      <w:pPr>
        <w:pStyle w:val="BodyText"/>
        <w:jc w:val="both"/>
      </w:pPr>
    </w:p>
    <w:p w14:paraId="59CFC414" w14:textId="77777777" w:rsidR="00DB1140" w:rsidRDefault="00DB1140" w:rsidP="00DB1140">
      <w:pPr>
        <w:pStyle w:val="BodyText"/>
        <w:jc w:val="both"/>
      </w:pPr>
      <w:r>
        <w:tab/>
        <w:t>Significantly, the court later noted, "we focus on the correctness of the proc</w:t>
      </w:r>
      <w:r>
        <w:t>e</w:t>
      </w:r>
      <w:r>
        <w:t>dures that were used as opposed to the quality of the analyst's performance of those procedures." (</w:t>
      </w:r>
      <w:r>
        <w:rPr>
          <w:i/>
        </w:rPr>
        <w:t>Id</w:t>
      </w:r>
      <w:r>
        <w:t xml:space="preserve">., at p. 667.) More recently, the court of appeal in </w:t>
      </w:r>
      <w:r>
        <w:rPr>
          <w:i/>
        </w:rPr>
        <w:t>People v. Wright</w:t>
      </w:r>
      <w:r>
        <w:t xml:space="preserve">, </w:t>
      </w:r>
      <w:r>
        <w:rPr>
          <w:i/>
        </w:rPr>
        <w:t>supra</w:t>
      </w:r>
      <w:r>
        <w:t>, rejected contentions that possible sample contamination or confusion, or lack of "rigorous or controlled" procedures, implicated admissibility concerns. Instead, the court noted, such objections are properly raised before the trier of fact and not prior to evidence admission. (</w:t>
      </w:r>
      <w:r>
        <w:rPr>
          <w:i/>
        </w:rPr>
        <w:t>People v. Wright</w:t>
      </w:r>
      <w:r>
        <w:t xml:space="preserve">, </w:t>
      </w:r>
      <w:r>
        <w:rPr>
          <w:i/>
        </w:rPr>
        <w:t>supra</w:t>
      </w:r>
      <w:r>
        <w:t>, at p. 41.)</w:t>
      </w:r>
      <w:r>
        <w:tab/>
      </w:r>
    </w:p>
    <w:p w14:paraId="12A20F0E" w14:textId="77777777" w:rsidR="00DB1140" w:rsidRDefault="00DB1140" w:rsidP="00DB1140">
      <w:pPr>
        <w:pStyle w:val="BodyText"/>
        <w:jc w:val="both"/>
      </w:pPr>
      <w:r>
        <w:t>Finally, the California Supreme Court again addressed the meaning of correct scientific procedures in1998 in the context of DNA RFLP typing. (</w:t>
      </w:r>
      <w:r>
        <w:rPr>
          <w:i/>
        </w:rPr>
        <w:t>People v. Venegas</w:t>
      </w:r>
      <w:r>
        <w:t xml:space="preserve"> (1998) 18 Cal.4th 47.) The supreme court reaffirmed earlier court of appeal concl</w:t>
      </w:r>
      <w:r>
        <w:t>u</w:t>
      </w:r>
      <w:r>
        <w:t xml:space="preserve">sions that the determination of the third prong of </w:t>
      </w:r>
      <w:r>
        <w:rPr>
          <w:i/>
        </w:rPr>
        <w:t>People v. Kelly</w:t>
      </w:r>
      <w:r>
        <w:t xml:space="preserve">, </w:t>
      </w:r>
      <w:r>
        <w:rPr>
          <w:i/>
        </w:rPr>
        <w:t>supra</w:t>
      </w:r>
      <w:r>
        <w:t>, requires case-specific examin</w:t>
      </w:r>
      <w:r>
        <w:t>a</w:t>
      </w:r>
      <w:r>
        <w:t>tion. (</w:t>
      </w:r>
      <w:r>
        <w:rPr>
          <w:i/>
        </w:rPr>
        <w:t>People v. Venegas</w:t>
      </w:r>
      <w:r>
        <w:t xml:space="preserve">, </w:t>
      </w:r>
      <w:r>
        <w:rPr>
          <w:i/>
        </w:rPr>
        <w:t>supra</w:t>
      </w:r>
      <w:r>
        <w:t xml:space="preserve">, at p. 81.) </w:t>
      </w:r>
    </w:p>
    <w:p w14:paraId="6E28531E" w14:textId="77777777" w:rsidR="00DB1140" w:rsidRDefault="00DB1140" w:rsidP="00DB1140">
      <w:pPr>
        <w:pStyle w:val="BodyText"/>
        <w:jc w:val="both"/>
      </w:pPr>
      <w:r>
        <w:tab/>
        <w:t>The court also concluded due to the inherent complexity of DNA typing, trial courts must first determine whether correct procedures were used by the testing laboratory in the case at issue. (</w:t>
      </w:r>
      <w:r>
        <w:rPr>
          <w:i/>
        </w:rPr>
        <w:t>Id</w:t>
      </w:r>
      <w:r>
        <w:t>, at pp. 80-81.) The court did note that "shortcomings such as misl</w:t>
      </w:r>
      <w:r>
        <w:t>a</w:t>
      </w:r>
      <w:r>
        <w:t>beling, mixing the wrong ingredients, or failing to follow routine precautions against co</w:t>
      </w:r>
      <w:r>
        <w:t>n</w:t>
      </w:r>
      <w:r>
        <w:t>tamination may well be amenable to evaluation by jurors without the assistance of expert te</w:t>
      </w:r>
      <w:r>
        <w:t>s</w:t>
      </w:r>
      <w:r>
        <w:t>timony," and thus affect weight rather than admissibility. (</w:t>
      </w:r>
      <w:r>
        <w:rPr>
          <w:i/>
        </w:rPr>
        <w:t>Id</w:t>
      </w:r>
      <w:r>
        <w:t>, at p. 81.) Finally, the court stated that test</w:t>
      </w:r>
      <w:r>
        <w:t>i</w:t>
      </w:r>
      <w:r>
        <w:t>mony in support of use of correct procedures can be presented solely by the examining an</w:t>
      </w:r>
      <w:r>
        <w:t>a</w:t>
      </w:r>
      <w:r>
        <w:t>lyst if that analyst sufficiently understands the "technique and its underlying th</w:t>
      </w:r>
      <w:r>
        <w:t>e</w:t>
      </w:r>
      <w:r>
        <w:t>ory." (</w:t>
      </w:r>
      <w:r>
        <w:rPr>
          <w:i/>
        </w:rPr>
        <w:t>Ibid</w:t>
      </w:r>
      <w:r>
        <w:t xml:space="preserve">.) </w:t>
      </w:r>
    </w:p>
    <w:p w14:paraId="1C09873C" w14:textId="77777777" w:rsidR="00DB1140" w:rsidRDefault="00DB1140" w:rsidP="00DB1140">
      <w:pPr>
        <w:pStyle w:val="BodyText"/>
        <w:jc w:val="both"/>
      </w:pPr>
      <w:r>
        <w:tab/>
        <w:t>To add further confusion and reinvigorate the debate regarding the exact showing r</w:t>
      </w:r>
      <w:r>
        <w:t>e</w:t>
      </w:r>
      <w:r>
        <w:t xml:space="preserve">quired, the California Supreme Court later reiterated its comments in </w:t>
      </w:r>
      <w:r>
        <w:rPr>
          <w:i/>
        </w:rPr>
        <w:t>People v. Venegas</w:t>
      </w:r>
      <w:r>
        <w:t xml:space="preserve">, </w:t>
      </w:r>
      <w:r>
        <w:rPr>
          <w:i/>
        </w:rPr>
        <w:t>s</w:t>
      </w:r>
      <w:r>
        <w:rPr>
          <w:i/>
        </w:rPr>
        <w:t>u</w:t>
      </w:r>
      <w:r>
        <w:rPr>
          <w:i/>
        </w:rPr>
        <w:t>pra</w:t>
      </w:r>
      <w:r>
        <w:t xml:space="preserve">, and stated, “. . . </w:t>
      </w:r>
      <w:r>
        <w:rPr>
          <w:i/>
        </w:rPr>
        <w:t>Kelly</w:t>
      </w:r>
      <w:r>
        <w:t>-</w:t>
      </w:r>
      <w:r>
        <w:rPr>
          <w:i/>
        </w:rPr>
        <w:t>Frye</w:t>
      </w:r>
      <w:r>
        <w:t xml:space="preserve"> requires determination 'whether a laboratory has </w:t>
      </w:r>
      <w:r>
        <w:rPr>
          <w:b/>
        </w:rPr>
        <w:t>adopted</w:t>
      </w:r>
      <w:r>
        <w:t xml:space="preserve"> co</w:t>
      </w:r>
      <w:r>
        <w:t>r</w:t>
      </w:r>
      <w:r>
        <w:t>rect, scientifically a</w:t>
      </w:r>
      <w:r>
        <w:t>c</w:t>
      </w:r>
      <w:r>
        <w:t>cepted procedures' for conducting the test." (</w:t>
      </w:r>
      <w:r>
        <w:rPr>
          <w:i/>
        </w:rPr>
        <w:t xml:space="preserve">People v. </w:t>
      </w:r>
      <w:proofErr w:type="spellStart"/>
      <w:r>
        <w:rPr>
          <w:i/>
        </w:rPr>
        <w:t>Roybal</w:t>
      </w:r>
      <w:proofErr w:type="spellEnd"/>
      <w:r>
        <w:t xml:space="preserve"> (Cal. 1998) 19 Cal.4th 481; emphasis added.)</w:t>
      </w:r>
    </w:p>
    <w:p w14:paraId="3495BA7A" w14:textId="77777777" w:rsidR="00DB1140" w:rsidRDefault="00DB1140" w:rsidP="00DB1140">
      <w:pPr>
        <w:pStyle w:val="BodyText"/>
        <w:jc w:val="both"/>
      </w:pPr>
      <w:r>
        <w:tab/>
        <w:t>The People will establish through testimony that correct scientific procedures were uti</w:t>
      </w:r>
      <w:r>
        <w:t>l</w:t>
      </w:r>
      <w:r>
        <w:t>ized in the instant case.</w:t>
      </w:r>
    </w:p>
    <w:p w14:paraId="6F1F9E34" w14:textId="77777777" w:rsidR="00DB1140" w:rsidRDefault="00DB1140" w:rsidP="00DB1140">
      <w:pPr>
        <w:pStyle w:val="BodyText"/>
        <w:jc w:val="both"/>
      </w:pPr>
      <w:r>
        <w:rPr>
          <w:b/>
        </w:rPr>
        <w:t>CONCLUSION</w:t>
      </w:r>
    </w:p>
    <w:p w14:paraId="2B052076" w14:textId="77777777" w:rsidR="00DB1140" w:rsidRDefault="00DB1140" w:rsidP="00DB1140">
      <w:pPr>
        <w:pStyle w:val="BodyText"/>
        <w:jc w:val="both"/>
      </w:pPr>
      <w:r>
        <w:tab/>
        <w:t>Accordingly, for the above reasons, it is respectfully requested that defendant’s motion be denied.</w:t>
      </w:r>
    </w:p>
    <w:p w14:paraId="7EBB142C" w14:textId="77777777" w:rsidR="00DB1140" w:rsidRDefault="00DB1140" w:rsidP="00DB1140">
      <w:pPr>
        <w:pStyle w:val="BodyText"/>
        <w:jc w:val="both"/>
      </w:pPr>
    </w:p>
    <w:p w14:paraId="6A01DCDC" w14:textId="77777777" w:rsidR="00DB1140" w:rsidRDefault="00DB1140" w:rsidP="00DB1140">
      <w:pPr>
        <w:pStyle w:val="BodyText"/>
        <w:jc w:val="both"/>
      </w:pPr>
      <w:r>
        <w:t>Dated:  June 2002</w:t>
      </w:r>
      <w:r>
        <w:tab/>
      </w:r>
    </w:p>
    <w:p w14:paraId="6482CDF2" w14:textId="77777777" w:rsidR="00DB1140" w:rsidRDefault="00DB1140" w:rsidP="00DB1140">
      <w:pPr>
        <w:pStyle w:val="BodyText"/>
        <w:jc w:val="both"/>
      </w:pPr>
    </w:p>
    <w:p w14:paraId="09239795" w14:textId="77777777" w:rsidR="00DB1140" w:rsidRDefault="00DB1140" w:rsidP="00DB1140">
      <w:pPr>
        <w:pStyle w:val="BodyText"/>
        <w:jc w:val="both"/>
      </w:pPr>
      <w:r>
        <w:tab/>
      </w:r>
      <w:r>
        <w:tab/>
      </w:r>
      <w:r>
        <w:tab/>
      </w:r>
      <w:r>
        <w:tab/>
      </w:r>
      <w:r>
        <w:tab/>
      </w:r>
      <w:r>
        <w:tab/>
        <w:t>Respectfully submitted,</w:t>
      </w:r>
    </w:p>
    <w:p w14:paraId="357ADA5D" w14:textId="77777777" w:rsidR="00DB1140" w:rsidRDefault="00DB1140" w:rsidP="00DB1140">
      <w:pPr>
        <w:pStyle w:val="BodyText"/>
        <w:jc w:val="both"/>
      </w:pPr>
      <w:r>
        <w:tab/>
      </w:r>
      <w:r>
        <w:tab/>
      </w:r>
      <w:r>
        <w:tab/>
      </w:r>
      <w:r>
        <w:tab/>
      </w:r>
      <w:r>
        <w:tab/>
      </w:r>
      <w:r>
        <w:tab/>
      </w:r>
    </w:p>
    <w:p w14:paraId="4517F435" w14:textId="77777777" w:rsidR="00DB1140" w:rsidRDefault="00DB1140" w:rsidP="00DB1140">
      <w:pPr>
        <w:pStyle w:val="BodyText"/>
        <w:jc w:val="both"/>
      </w:pPr>
      <w:r>
        <w:tab/>
      </w:r>
      <w:r>
        <w:tab/>
      </w:r>
      <w:r>
        <w:tab/>
      </w:r>
      <w:r>
        <w:tab/>
      </w:r>
      <w:r>
        <w:tab/>
      </w:r>
      <w:r>
        <w:tab/>
        <w:t>____________________</w:t>
      </w:r>
    </w:p>
    <w:p w14:paraId="4300679A" w14:textId="77777777" w:rsidR="00DB1140" w:rsidRDefault="00DB1140" w:rsidP="00DB1140">
      <w:pPr>
        <w:pStyle w:val="BodyText"/>
        <w:jc w:val="both"/>
      </w:pPr>
      <w:r>
        <w:tab/>
      </w:r>
      <w:r>
        <w:tab/>
      </w:r>
      <w:r>
        <w:tab/>
      </w:r>
      <w:r>
        <w:tab/>
      </w:r>
      <w:r>
        <w:tab/>
      </w:r>
      <w:r>
        <w:tab/>
        <w:t>Deputy District Attorney</w:t>
      </w:r>
    </w:p>
    <w:p w14:paraId="01934A54" w14:textId="77777777" w:rsidR="00DB1140" w:rsidRDefault="00DB1140" w:rsidP="00DB1140">
      <w:pPr>
        <w:pStyle w:val="BodyText"/>
        <w:jc w:val="both"/>
      </w:pPr>
      <w:r>
        <w:tab/>
      </w:r>
      <w:r>
        <w:tab/>
      </w:r>
      <w:r>
        <w:tab/>
      </w:r>
      <w:r>
        <w:tab/>
      </w:r>
      <w:r>
        <w:tab/>
      </w:r>
      <w:r>
        <w:tab/>
        <w:t>Attorneys for Plaintiff</w:t>
      </w:r>
    </w:p>
    <w:p w14:paraId="0A9721A8" w14:textId="77777777" w:rsidR="00DB1140" w:rsidRDefault="00DB1140" w:rsidP="00DB1140">
      <w:pPr>
        <w:tabs>
          <w:tab w:val="left" w:pos="720"/>
          <w:tab w:val="left" w:pos="1440"/>
          <w:tab w:val="left" w:pos="2160"/>
        </w:tabs>
        <w:jc w:val="both"/>
        <w:rPr>
          <w:i/>
        </w:rPr>
      </w:pPr>
    </w:p>
    <w:p w14:paraId="62F2D2CB" w14:textId="77777777" w:rsidR="00DB1140" w:rsidRDefault="00DB1140" w:rsidP="00DB1140">
      <w:pPr>
        <w:tabs>
          <w:tab w:val="left" w:pos="720"/>
          <w:tab w:val="left" w:pos="1440"/>
          <w:tab w:val="left" w:pos="2160"/>
        </w:tabs>
        <w:jc w:val="both"/>
        <w:rPr>
          <w:i/>
        </w:rPr>
      </w:pPr>
    </w:p>
    <w:p w14:paraId="188D93E5" w14:textId="77777777" w:rsidR="00DB1140" w:rsidRDefault="00DB1140" w:rsidP="00DB1140">
      <w:pPr>
        <w:tabs>
          <w:tab w:val="left" w:pos="720"/>
          <w:tab w:val="left" w:pos="1440"/>
          <w:tab w:val="left" w:pos="2160"/>
        </w:tabs>
        <w:jc w:val="both"/>
        <w:rPr>
          <w:i/>
        </w:rPr>
      </w:pPr>
    </w:p>
    <w:p w14:paraId="0A6F87C5" w14:textId="77777777" w:rsidR="00DB1140" w:rsidRDefault="00DB1140" w:rsidP="00DB1140">
      <w:pPr>
        <w:tabs>
          <w:tab w:val="left" w:pos="720"/>
          <w:tab w:val="left" w:pos="1440"/>
          <w:tab w:val="left" w:pos="2160"/>
        </w:tabs>
        <w:jc w:val="both"/>
        <w:rPr>
          <w:i/>
        </w:rPr>
      </w:pPr>
    </w:p>
    <w:p w14:paraId="73B8404B" w14:textId="77777777" w:rsidR="00866325" w:rsidRDefault="00CE328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75AEB" w14:textId="77777777" w:rsidR="00CE3284" w:rsidRDefault="00CE3284" w:rsidP="00DB1140">
      <w:r>
        <w:separator/>
      </w:r>
    </w:p>
  </w:endnote>
  <w:endnote w:type="continuationSeparator" w:id="0">
    <w:p w14:paraId="7B3843E8" w14:textId="77777777" w:rsidR="00CE3284" w:rsidRDefault="00CE3284" w:rsidP="00DB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4D5A6" w14:textId="77777777" w:rsidR="00CE3284" w:rsidRDefault="00CE3284" w:rsidP="00DB1140">
      <w:r>
        <w:separator/>
      </w:r>
    </w:p>
  </w:footnote>
  <w:footnote w:type="continuationSeparator" w:id="0">
    <w:p w14:paraId="70293675" w14:textId="77777777" w:rsidR="00CE3284" w:rsidRDefault="00CE3284" w:rsidP="00DB1140">
      <w:r>
        <w:continuationSeparator/>
      </w:r>
    </w:p>
  </w:footnote>
  <w:footnote w:id="1">
    <w:p w14:paraId="63ADF6D1" w14:textId="77777777" w:rsidR="00DB1140" w:rsidRDefault="00DB1140" w:rsidP="00DB1140">
      <w:pPr>
        <w:pStyle w:val="FootnoteText"/>
        <w:tabs>
          <w:tab w:val="left" w:pos="-720"/>
        </w:tabs>
        <w:suppressAutoHyphens/>
        <w:spacing w:line="240" w:lineRule="exact"/>
        <w:rPr>
          <w:spacing w:val="-3"/>
        </w:rPr>
      </w:pPr>
      <w:r>
        <w:rPr>
          <w:spacing w:val="-3"/>
          <w:vertAlign w:val="superscript"/>
        </w:rPr>
        <w:t xml:space="preserve">     </w:t>
      </w:r>
      <w:r>
        <w:rPr>
          <w:rStyle w:val="FootnoteReference"/>
          <w:rFonts w:ascii="CG Times" w:hAnsi="CG Times"/>
          <w:spacing w:val="-3"/>
        </w:rPr>
        <w:footnoteRef/>
      </w:r>
      <w:r>
        <w:rPr>
          <w:rFonts w:ascii="CG Times" w:hAnsi="CG Times"/>
          <w:spacing w:val="-3"/>
        </w:rPr>
        <w:t xml:space="preserve"> Proceedings of the </w:t>
      </w:r>
      <w:r>
        <w:rPr>
          <w:rFonts w:ascii="CG Times" w:hAnsi="CG Times"/>
          <w:i/>
          <w:spacing w:val="-3"/>
        </w:rPr>
        <w:t>International Symposium on Human Identification 1993</w:t>
      </w:r>
      <w:r>
        <w:rPr>
          <w:rFonts w:ascii="CG Times" w:hAnsi="CG Times"/>
          <w:spacing w:val="-3"/>
        </w:rPr>
        <w:t xml:space="preserve">, Scottsdale, Arizona, </w:t>
      </w:r>
      <w:proofErr w:type="spellStart"/>
      <w:r>
        <w:rPr>
          <w:rFonts w:ascii="CG Times" w:hAnsi="CG Times"/>
          <w:spacing w:val="-3"/>
        </w:rPr>
        <w:t>Promega</w:t>
      </w:r>
      <w:proofErr w:type="spellEnd"/>
      <w:r>
        <w:rPr>
          <w:rFonts w:ascii="CG Times" w:hAnsi="CG Times"/>
          <w:spacing w:val="-3"/>
        </w:rPr>
        <w:t xml:space="preserve"> Corporation, September 27-30, 1993; Proceedings of the </w:t>
      </w:r>
      <w:r>
        <w:rPr>
          <w:rFonts w:ascii="CG Times" w:hAnsi="CG Times"/>
          <w:i/>
          <w:spacing w:val="-3"/>
        </w:rPr>
        <w:t>Second International Symposium on the Forensic Aspects of DNA Analysis</w:t>
      </w:r>
      <w:r>
        <w:rPr>
          <w:rFonts w:ascii="CG Times" w:hAnsi="CG Times"/>
          <w:spacing w:val="-3"/>
        </w:rPr>
        <w:t xml:space="preserve">, Laboratory Division, Federal Bureau of Investigation, Quantico, Virginia, March 29-April 2, 1993; Hammond, H.A., </w:t>
      </w:r>
      <w:proofErr w:type="spellStart"/>
      <w:r>
        <w:rPr>
          <w:rFonts w:ascii="CG Times" w:hAnsi="CG Times"/>
          <w:spacing w:val="-3"/>
        </w:rPr>
        <w:t>Jin</w:t>
      </w:r>
      <w:proofErr w:type="spellEnd"/>
      <w:r>
        <w:rPr>
          <w:rFonts w:ascii="CG Times" w:hAnsi="CG Times"/>
          <w:spacing w:val="-3"/>
        </w:rPr>
        <w:t xml:space="preserve">, L., </w:t>
      </w:r>
      <w:proofErr w:type="spellStart"/>
      <w:r>
        <w:rPr>
          <w:rFonts w:ascii="CG Times" w:hAnsi="CG Times"/>
          <w:spacing w:val="-3"/>
        </w:rPr>
        <w:t>Zhong</w:t>
      </w:r>
      <w:proofErr w:type="spellEnd"/>
      <w:r>
        <w:rPr>
          <w:rFonts w:ascii="CG Times" w:hAnsi="CG Times"/>
          <w:spacing w:val="-3"/>
        </w:rPr>
        <w:t xml:space="preserve">, Y., </w:t>
      </w:r>
      <w:proofErr w:type="spellStart"/>
      <w:r>
        <w:rPr>
          <w:rFonts w:ascii="CG Times" w:hAnsi="CG Times"/>
          <w:spacing w:val="-3"/>
        </w:rPr>
        <w:t>Caskey</w:t>
      </w:r>
      <w:proofErr w:type="spellEnd"/>
      <w:r>
        <w:rPr>
          <w:rFonts w:ascii="CG Times" w:hAnsi="CG Times"/>
          <w:spacing w:val="-3"/>
        </w:rPr>
        <w:t xml:space="preserve">, C.T., and Chakraborty, R., </w:t>
      </w:r>
      <w:r>
        <w:rPr>
          <w:rFonts w:ascii="CG Times" w:hAnsi="CG Times"/>
          <w:i/>
          <w:spacing w:val="-3"/>
        </w:rPr>
        <w:t>Evaluation of 13 Short Tandem Repeat Loci for Use in Personal Identification Applications</w:t>
      </w:r>
      <w:r>
        <w:rPr>
          <w:rFonts w:ascii="CG Times" w:hAnsi="CG Times"/>
          <w:spacing w:val="-3"/>
        </w:rPr>
        <w:t xml:space="preserve">, American Journal of Human Genetics, Vol. 55, 1994, pp. 175-189; Alford, R.L., Hammond, H.A., </w:t>
      </w:r>
      <w:proofErr w:type="spellStart"/>
      <w:r>
        <w:rPr>
          <w:rFonts w:ascii="CG Times" w:hAnsi="CG Times"/>
          <w:spacing w:val="-3"/>
        </w:rPr>
        <w:t>Coto</w:t>
      </w:r>
      <w:proofErr w:type="spellEnd"/>
      <w:r>
        <w:rPr>
          <w:rFonts w:ascii="CG Times" w:hAnsi="CG Times"/>
          <w:spacing w:val="-3"/>
        </w:rPr>
        <w:t xml:space="preserve">, I., and </w:t>
      </w:r>
      <w:proofErr w:type="spellStart"/>
      <w:r>
        <w:rPr>
          <w:rFonts w:ascii="CG Times" w:hAnsi="CG Times"/>
          <w:spacing w:val="-3"/>
        </w:rPr>
        <w:t>Caskey</w:t>
      </w:r>
      <w:proofErr w:type="spellEnd"/>
      <w:r>
        <w:rPr>
          <w:rFonts w:ascii="CG Times" w:hAnsi="CG Times"/>
          <w:spacing w:val="-3"/>
        </w:rPr>
        <w:t xml:space="preserve">, C.T., </w:t>
      </w:r>
      <w:r>
        <w:rPr>
          <w:rFonts w:ascii="CG Times" w:hAnsi="CG Times"/>
          <w:i/>
          <w:spacing w:val="-3"/>
        </w:rPr>
        <w:t>Rapid and Efficient Resolution of Parentage by Amplification of Short Tandem Repeats</w:t>
      </w:r>
      <w:r>
        <w:rPr>
          <w:rFonts w:ascii="CG Times" w:hAnsi="CG Times"/>
          <w:spacing w:val="-3"/>
        </w:rPr>
        <w:t xml:space="preserve">, American Journal of Human Genetics, Vol. 55, 1994, pp. 190-195; </w:t>
      </w:r>
      <w:proofErr w:type="spellStart"/>
      <w:r>
        <w:rPr>
          <w:rFonts w:ascii="CG Times" w:hAnsi="CG Times"/>
          <w:spacing w:val="-3"/>
        </w:rPr>
        <w:t>Micka</w:t>
      </w:r>
      <w:proofErr w:type="spellEnd"/>
      <w:r>
        <w:rPr>
          <w:rFonts w:ascii="CG Times" w:hAnsi="CG Times"/>
          <w:spacing w:val="-3"/>
        </w:rPr>
        <w:t xml:space="preserve">, K.A., et al, </w:t>
      </w:r>
      <w:r>
        <w:rPr>
          <w:rFonts w:ascii="CG Times" w:hAnsi="CG Times"/>
          <w:i/>
          <w:spacing w:val="-3"/>
        </w:rPr>
        <w:t>TWGDAM Validation of a Nine-Locus and a Four-Locus Fluorescent STR Multiplex System</w:t>
      </w:r>
      <w:r>
        <w:rPr>
          <w:rFonts w:ascii="CG Times" w:hAnsi="CG Times"/>
          <w:spacing w:val="-3"/>
        </w:rPr>
        <w:t>, Journal of Forensic Sciences, Vol. 44, No. 6, 1999, pp. 1243-1257.</w:t>
      </w:r>
    </w:p>
    <w:p w14:paraId="23E2ABEF" w14:textId="77777777" w:rsidR="00DB1140" w:rsidRDefault="00DB1140" w:rsidP="00DB1140">
      <w:pPr>
        <w:pStyle w:val="FootnoteText"/>
        <w:tabs>
          <w:tab w:val="left" w:pos="-720"/>
        </w:tabs>
        <w:suppressAutoHyphens/>
        <w:spacing w:line="240" w:lineRule="exact"/>
        <w:rPr>
          <w:spacing w:val="-3"/>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40"/>
    <w:rsid w:val="0003494F"/>
    <w:rsid w:val="00766433"/>
    <w:rsid w:val="00931064"/>
    <w:rsid w:val="00CE3284"/>
    <w:rsid w:val="00DB1140"/>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93C7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140"/>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B1140"/>
    <w:pPr>
      <w:tabs>
        <w:tab w:val="left" w:pos="-720"/>
      </w:tabs>
      <w:suppressAutoHyphens/>
    </w:pPr>
    <w:rPr>
      <w:spacing w:val="-3"/>
    </w:rPr>
  </w:style>
  <w:style w:type="character" w:customStyle="1" w:styleId="BodyTextChar">
    <w:name w:val="Body Text Char"/>
    <w:basedOn w:val="DefaultParagraphFont"/>
    <w:link w:val="BodyText"/>
    <w:semiHidden/>
    <w:rsid w:val="00DB1140"/>
    <w:rPr>
      <w:rFonts w:ascii="Times New Roman" w:eastAsia="Times New Roman" w:hAnsi="Times New Roman" w:cs="Times New Roman"/>
      <w:spacing w:val="-3"/>
      <w:szCs w:val="20"/>
    </w:rPr>
  </w:style>
  <w:style w:type="character" w:styleId="FootnoteReference">
    <w:name w:val="footnote reference"/>
    <w:semiHidden/>
    <w:rsid w:val="00DB1140"/>
    <w:rPr>
      <w:vertAlign w:val="superscript"/>
    </w:rPr>
  </w:style>
  <w:style w:type="paragraph" w:styleId="FootnoteText">
    <w:name w:val="footnote text"/>
    <w:basedOn w:val="Normal"/>
    <w:link w:val="FootnoteTextChar"/>
    <w:semiHidden/>
    <w:rsid w:val="00DB1140"/>
    <w:rPr>
      <w:sz w:val="20"/>
    </w:rPr>
  </w:style>
  <w:style w:type="character" w:customStyle="1" w:styleId="FootnoteTextChar">
    <w:name w:val="Footnote Text Char"/>
    <w:basedOn w:val="DefaultParagraphFont"/>
    <w:link w:val="FootnoteText"/>
    <w:semiHidden/>
    <w:rsid w:val="00DB1140"/>
    <w:rPr>
      <w:rFonts w:ascii="Times New Roman" w:eastAsia="Times New Roman" w:hAnsi="Times New Roman" w:cs="Times New Roman"/>
      <w:sz w:val="20"/>
      <w:szCs w:val="20"/>
    </w:rPr>
  </w:style>
  <w:style w:type="paragraph" w:customStyle="1" w:styleId="CourtName">
    <w:name w:val="CourtName"/>
    <w:basedOn w:val="Normal"/>
    <w:rsid w:val="00DB1140"/>
    <w:pPr>
      <w:overflowPunct/>
      <w:autoSpaceDE/>
      <w:autoSpaceDN/>
      <w:adjustRightInd/>
      <w:spacing w:line="476" w:lineRule="exact"/>
      <w:jc w:val="center"/>
      <w:textAlignment w:val="auto"/>
    </w:pPr>
    <w:rPr>
      <w:sz w:val="26"/>
    </w:rPr>
  </w:style>
  <w:style w:type="paragraph" w:customStyle="1" w:styleId="15Spacing">
    <w:name w:val="1.5 Spacing"/>
    <w:basedOn w:val="Normal"/>
    <w:rsid w:val="00DB1140"/>
    <w:pPr>
      <w:overflowPunct/>
      <w:autoSpaceDE/>
      <w:autoSpaceDN/>
      <w:adjustRightInd/>
      <w:spacing w:line="476" w:lineRule="exact"/>
      <w:textAlignment w:val="auto"/>
    </w:pPr>
  </w:style>
  <w:style w:type="paragraph" w:customStyle="1" w:styleId="DoubleSpace">
    <w:name w:val="Double Space"/>
    <w:basedOn w:val="Normal"/>
    <w:rsid w:val="00DB1140"/>
    <w:pPr>
      <w:widowControl w:val="0"/>
      <w:overflowPunct/>
      <w:autoSpaceDE/>
      <w:autoSpaceDN/>
      <w:adjustRightInd/>
      <w:spacing w:line="360" w:lineRule="auto"/>
      <w:textAlignment w:val="auto"/>
    </w:pPr>
    <w:rPr>
      <w:rFonts w:ascii="CG Times (W1)" w:hAnsi="CG Times (W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2802</Words>
  <Characters>15973</Characters>
  <Application>Microsoft Macintosh Word</Application>
  <DocSecurity>0</DocSecurity>
  <Lines>133</Lines>
  <Paragraphs>37</Paragraphs>
  <ScaleCrop>false</ScaleCrop>
  <LinksUpToDate>false</LinksUpToDate>
  <CharactersWithSpaces>18738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2017-11-21T21:54:00Z</dcterms:created>
  <dcterms:modified xsi:type="dcterms:W3CDTF">2017-11-21T21:55:00Z</dcterms:modified>
</cp:coreProperties>
</file>