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3DA7B3" w14:textId="77777777" w:rsidR="0063167D" w:rsidRDefault="0063167D" w:rsidP="0063167D">
      <w:pPr>
        <w:jc w:val="center"/>
        <w:rPr>
          <w:b/>
        </w:rPr>
      </w:pPr>
      <w:r>
        <w:rPr>
          <w:b/>
        </w:rPr>
        <w:t>STATE’S PETITION TO COMPEL TEST FOR GONORRHEA ON DEFENDANT</w:t>
      </w:r>
    </w:p>
    <w:p w14:paraId="705765B5" w14:textId="77777777" w:rsidR="0063167D" w:rsidRDefault="0063167D" w:rsidP="0063167D">
      <w:pPr>
        <w:jc w:val="center"/>
        <w:rPr>
          <w:b/>
        </w:rPr>
      </w:pPr>
    </w:p>
    <w:p w14:paraId="63E5C185" w14:textId="77777777" w:rsidR="0063167D" w:rsidRDefault="0063167D" w:rsidP="0063167D">
      <w:pPr>
        <w:jc w:val="center"/>
        <w:rPr>
          <w:b/>
        </w:rPr>
      </w:pPr>
      <w:r>
        <w:rPr>
          <w:b/>
        </w:rPr>
        <w:t>Commonwealth of Pennsylvania</w:t>
      </w:r>
    </w:p>
    <w:p w14:paraId="003DF365" w14:textId="77777777" w:rsidR="0063167D" w:rsidRDefault="0063167D" w:rsidP="0063167D">
      <w:pPr>
        <w:jc w:val="both"/>
        <w:rPr>
          <w:b/>
        </w:rPr>
      </w:pPr>
    </w:p>
    <w:p w14:paraId="63AF28A1" w14:textId="77777777" w:rsidR="0063167D" w:rsidRDefault="0063167D" w:rsidP="0063167D">
      <w:pPr>
        <w:tabs>
          <w:tab w:val="left" w:pos="720"/>
          <w:tab w:val="left" w:pos="1440"/>
        </w:tabs>
        <w:jc w:val="both"/>
        <w:rPr>
          <w:b/>
        </w:rPr>
      </w:pPr>
      <w:r>
        <w:rPr>
          <w:b/>
        </w:rPr>
        <w:t>TO THE HONORABLE_____________:</w:t>
      </w:r>
    </w:p>
    <w:p w14:paraId="51B69882" w14:textId="77777777" w:rsidR="0063167D" w:rsidRDefault="0063167D" w:rsidP="0063167D">
      <w:pPr>
        <w:tabs>
          <w:tab w:val="left" w:pos="720"/>
          <w:tab w:val="left" w:pos="1440"/>
        </w:tabs>
        <w:jc w:val="both"/>
        <w:rPr>
          <w:b/>
        </w:rPr>
      </w:pPr>
    </w:p>
    <w:p w14:paraId="65058A4B" w14:textId="77777777" w:rsidR="0063167D" w:rsidRDefault="0063167D" w:rsidP="0063167D">
      <w:pPr>
        <w:tabs>
          <w:tab w:val="left" w:pos="720"/>
          <w:tab w:val="left" w:pos="1440"/>
        </w:tabs>
        <w:jc w:val="both"/>
      </w:pPr>
      <w:r>
        <w:rPr>
          <w:b/>
        </w:rPr>
        <w:tab/>
        <w:t xml:space="preserve">_______________, </w:t>
      </w:r>
      <w:r>
        <w:t>District Attorney of Philadelphia County, by his Assistant, ____________, Child Abuse Unit, respectfully represents the following:</w:t>
      </w:r>
    </w:p>
    <w:p w14:paraId="20973BA3" w14:textId="77777777" w:rsidR="0063167D" w:rsidRDefault="0063167D" w:rsidP="0063167D">
      <w:pPr>
        <w:tabs>
          <w:tab w:val="left" w:pos="720"/>
          <w:tab w:val="left" w:pos="1440"/>
        </w:tabs>
        <w:jc w:val="both"/>
      </w:pPr>
    </w:p>
    <w:p w14:paraId="64D78E44" w14:textId="77777777" w:rsidR="0063167D" w:rsidRDefault="0063167D" w:rsidP="0063167D">
      <w:pPr>
        <w:numPr>
          <w:ilvl w:val="0"/>
          <w:numId w:val="1"/>
        </w:numPr>
        <w:tabs>
          <w:tab w:val="left" w:pos="720"/>
          <w:tab w:val="left" w:pos="1440"/>
        </w:tabs>
        <w:jc w:val="both"/>
      </w:pPr>
      <w:r>
        <w:t>D.S., a seven-year-old girl, was diagnosed on July 20, 1990 as having gonorrhea, a sexually transmitted disease.</w:t>
      </w:r>
    </w:p>
    <w:p w14:paraId="3C79AD6E" w14:textId="77777777" w:rsidR="0063167D" w:rsidRDefault="0063167D" w:rsidP="0063167D">
      <w:pPr>
        <w:numPr>
          <w:ilvl w:val="0"/>
          <w:numId w:val="1"/>
        </w:numPr>
        <w:tabs>
          <w:tab w:val="left" w:pos="720"/>
          <w:tab w:val="left" w:pos="1440"/>
        </w:tabs>
        <w:jc w:val="both"/>
        <w:rPr>
          <w:b/>
        </w:rPr>
      </w:pPr>
      <w:r>
        <w:t>D.S. then revealed that the defendant had sexually assaulted her.</w:t>
      </w:r>
    </w:p>
    <w:p w14:paraId="22FF2FED" w14:textId="77777777" w:rsidR="0063167D" w:rsidRDefault="0063167D" w:rsidP="0063167D">
      <w:pPr>
        <w:numPr>
          <w:ilvl w:val="0"/>
          <w:numId w:val="1"/>
        </w:numPr>
        <w:tabs>
          <w:tab w:val="left" w:pos="720"/>
          <w:tab w:val="left" w:pos="1440"/>
        </w:tabs>
        <w:jc w:val="both"/>
        <w:rPr>
          <w:b/>
        </w:rPr>
      </w:pPr>
      <w:r>
        <w:t>The defendant was arrested on August 2, 1990 for charges stemming from the sexual assault of D.S.</w:t>
      </w:r>
    </w:p>
    <w:p w14:paraId="32DE5E35" w14:textId="77777777" w:rsidR="0063167D" w:rsidRDefault="0063167D" w:rsidP="0063167D">
      <w:pPr>
        <w:numPr>
          <w:ilvl w:val="0"/>
          <w:numId w:val="1"/>
        </w:numPr>
        <w:tabs>
          <w:tab w:val="left" w:pos="720"/>
          <w:tab w:val="left" w:pos="1440"/>
        </w:tabs>
        <w:jc w:val="both"/>
        <w:rPr>
          <w:b/>
        </w:rPr>
      </w:pPr>
      <w:r>
        <w:t>A preliminary hearing was held on August 10, 1990 at which the defendant was held for court on all charges.</w:t>
      </w:r>
    </w:p>
    <w:p w14:paraId="17D0D932" w14:textId="77777777" w:rsidR="0063167D" w:rsidRDefault="0063167D" w:rsidP="0063167D">
      <w:pPr>
        <w:numPr>
          <w:ilvl w:val="0"/>
          <w:numId w:val="1"/>
        </w:numPr>
        <w:tabs>
          <w:tab w:val="left" w:pos="720"/>
          <w:tab w:val="left" w:pos="1440"/>
        </w:tabs>
        <w:jc w:val="both"/>
        <w:rPr>
          <w:b/>
        </w:rPr>
      </w:pPr>
      <w:r>
        <w:t>The defendant has remained in custody since his arrest of August 2, 1990.</w:t>
      </w:r>
    </w:p>
    <w:p w14:paraId="422900A5" w14:textId="77777777" w:rsidR="0063167D" w:rsidRDefault="0063167D" w:rsidP="0063167D">
      <w:pPr>
        <w:numPr>
          <w:ilvl w:val="0"/>
          <w:numId w:val="1"/>
        </w:numPr>
        <w:tabs>
          <w:tab w:val="left" w:pos="720"/>
          <w:tab w:val="left" w:pos="1440"/>
        </w:tabs>
        <w:jc w:val="both"/>
        <w:rPr>
          <w:b/>
        </w:rPr>
      </w:pPr>
      <w:r>
        <w:t>It is possible to test the defendant to ascertain if he has gonorrhea that has gone untreated and undetected while he has been incarcerated.</w:t>
      </w:r>
    </w:p>
    <w:p w14:paraId="3A0A9D99" w14:textId="77777777" w:rsidR="0063167D" w:rsidRDefault="0063167D" w:rsidP="0063167D">
      <w:pPr>
        <w:numPr>
          <w:ilvl w:val="0"/>
          <w:numId w:val="1"/>
        </w:numPr>
        <w:tabs>
          <w:tab w:val="left" w:pos="720"/>
          <w:tab w:val="left" w:pos="1440"/>
        </w:tabs>
        <w:jc w:val="both"/>
        <w:rPr>
          <w:b/>
        </w:rPr>
      </w:pPr>
      <w:r>
        <w:t xml:space="preserve">The performance of a gonorrhea test upon the defendant is relevant to the inquiry of whether or not the defendant sexually assaulted the complainant.  Testing for sexually transmitted diseases has been sanctioned explicitly by come courts.  </w:t>
      </w:r>
      <w:r>
        <w:rPr>
          <w:i/>
        </w:rPr>
        <w:t xml:space="preserve">Daniel v. State, </w:t>
      </w:r>
      <w:r>
        <w:t xml:space="preserve">536 So. 2d 1319 (Miss. 1988); </w:t>
      </w:r>
      <w:r>
        <w:rPr>
          <w:i/>
        </w:rPr>
        <w:t xml:space="preserve">In the Matter of Jose Antonio R., </w:t>
      </w:r>
      <w:r>
        <w:t xml:space="preserve">496 N.Y.S.2d 683 (N.Y. Fam. Ct. 1985); </w:t>
      </w:r>
      <w:r>
        <w:rPr>
          <w:i/>
        </w:rPr>
        <w:t>State v. Mitchell,</w:t>
      </w:r>
      <w:r>
        <w:t xml:space="preserve"> 424 N.W.2d 698 (Wis. 1988); </w:t>
      </w:r>
      <w:r>
        <w:rPr>
          <w:i/>
        </w:rPr>
        <w:t>State v. Morrow</w:t>
      </w:r>
      <w:r>
        <w:t xml:space="preserve">, 334 S.E.2d 344 (Ga. Ct. App. 1985); </w:t>
      </w:r>
      <w:r>
        <w:rPr>
          <w:i/>
        </w:rPr>
        <w:t xml:space="preserve">State v. </w:t>
      </w:r>
      <w:proofErr w:type="spellStart"/>
      <w:r>
        <w:rPr>
          <w:i/>
        </w:rPr>
        <w:t>Carthan</w:t>
      </w:r>
      <w:proofErr w:type="spellEnd"/>
      <w:r>
        <w:t xml:space="preserve">, 377 So. 2d 308 (La. 1979); </w:t>
      </w:r>
      <w:r>
        <w:rPr>
          <w:i/>
        </w:rPr>
        <w:t>McIntosh v. State</w:t>
      </w:r>
      <w:r>
        <w:t xml:space="preserve">, 443 So. 2d 1275, </w:t>
      </w:r>
      <w:proofErr w:type="spellStart"/>
      <w:r>
        <w:rPr>
          <w:i/>
        </w:rPr>
        <w:t>rev’d</w:t>
      </w:r>
      <w:proofErr w:type="spellEnd"/>
      <w:r>
        <w:rPr>
          <w:i/>
        </w:rPr>
        <w:t xml:space="preserve"> on other grounds</w:t>
      </w:r>
      <w:r>
        <w:t>, 443 So. 2d 1283 (Ala. 1983).</w:t>
      </w:r>
    </w:p>
    <w:p w14:paraId="444CC063" w14:textId="77777777" w:rsidR="0063167D" w:rsidRDefault="0063167D" w:rsidP="0063167D">
      <w:pPr>
        <w:numPr>
          <w:ilvl w:val="0"/>
          <w:numId w:val="1"/>
        </w:numPr>
        <w:tabs>
          <w:tab w:val="left" w:pos="720"/>
          <w:tab w:val="left" w:pos="1440"/>
        </w:tabs>
        <w:jc w:val="both"/>
        <w:rPr>
          <w:b/>
        </w:rPr>
      </w:pPr>
      <w:r>
        <w:t xml:space="preserve">By comparison, the taking of blood from a defendant for blood typing purposes, when done by a medically trained professional, is a procedure sanctioned by the courts and does not violate either the Fourth or Fifth Amendments of the United States Constitution, </w:t>
      </w:r>
      <w:proofErr w:type="spellStart"/>
      <w:r>
        <w:rPr>
          <w:i/>
        </w:rPr>
        <w:t>Schmerber</w:t>
      </w:r>
      <w:proofErr w:type="spellEnd"/>
      <w:r>
        <w:rPr>
          <w:i/>
        </w:rPr>
        <w:t xml:space="preserve"> v. California</w:t>
      </w:r>
      <w:r>
        <w:t xml:space="preserve">, 384 U.S. 757 (1966); </w:t>
      </w:r>
      <w:r>
        <w:rPr>
          <w:i/>
        </w:rPr>
        <w:t>Commonwealth v. Gordon</w:t>
      </w:r>
      <w:r>
        <w:t xml:space="preserve">, 246 A.2d 325, </w:t>
      </w:r>
      <w:r>
        <w:rPr>
          <w:i/>
        </w:rPr>
        <w:t>cert. Denied,</w:t>
      </w:r>
      <w:r>
        <w:t xml:space="preserve"> 394 U.S. 937 (1968); </w:t>
      </w:r>
      <w:r>
        <w:rPr>
          <w:i/>
        </w:rPr>
        <w:t xml:space="preserve">Commonwealth v. </w:t>
      </w:r>
      <w:proofErr w:type="spellStart"/>
      <w:r>
        <w:rPr>
          <w:i/>
        </w:rPr>
        <w:t>Anderl</w:t>
      </w:r>
      <w:proofErr w:type="spellEnd"/>
      <w:r>
        <w:rPr>
          <w:i/>
        </w:rPr>
        <w:t xml:space="preserve">, </w:t>
      </w:r>
      <w:r>
        <w:t xml:space="preserve">477 A.2d 1356 (1984); </w:t>
      </w:r>
      <w:r>
        <w:rPr>
          <w:i/>
        </w:rPr>
        <w:t xml:space="preserve">Commonwealth v. Graves, </w:t>
      </w:r>
      <w:r>
        <w:t xml:space="preserve">456 A.2d 561 (1983); </w:t>
      </w:r>
      <w:r>
        <w:rPr>
          <w:i/>
        </w:rPr>
        <w:t xml:space="preserve">Commonwealth v. Funk, </w:t>
      </w:r>
      <w:r>
        <w:t>73 A.2d 688 (1950).</w:t>
      </w:r>
    </w:p>
    <w:p w14:paraId="4F7D6C95" w14:textId="77777777" w:rsidR="0063167D" w:rsidRDefault="0063167D" w:rsidP="0063167D">
      <w:pPr>
        <w:tabs>
          <w:tab w:val="left" w:pos="720"/>
          <w:tab w:val="left" w:pos="1440"/>
        </w:tabs>
        <w:jc w:val="both"/>
      </w:pPr>
    </w:p>
    <w:p w14:paraId="19BB6912" w14:textId="77777777" w:rsidR="0063167D" w:rsidRDefault="0063167D" w:rsidP="0063167D">
      <w:pPr>
        <w:tabs>
          <w:tab w:val="left" w:pos="720"/>
          <w:tab w:val="left" w:pos="1440"/>
        </w:tabs>
        <w:jc w:val="both"/>
      </w:pPr>
      <w:r>
        <w:tab/>
        <w:t>WHEREFORE, the Commonwealth requests that the Honorable Court order the defendant to allow a trained medical person to perform a test for gonorrhea on the defendant, the results of said test to be forwarded immediately to the District Attorney’s Office and to counsel for the defendant.</w:t>
      </w:r>
    </w:p>
    <w:p w14:paraId="45BAA251" w14:textId="77777777" w:rsidR="0063167D" w:rsidRDefault="0063167D" w:rsidP="0063167D">
      <w:pPr>
        <w:tabs>
          <w:tab w:val="left" w:pos="720"/>
          <w:tab w:val="left" w:pos="1440"/>
        </w:tabs>
        <w:jc w:val="both"/>
      </w:pPr>
    </w:p>
    <w:p w14:paraId="23F1E1E8" w14:textId="77777777" w:rsidR="0063167D" w:rsidRDefault="0063167D" w:rsidP="0063167D">
      <w:pPr>
        <w:tabs>
          <w:tab w:val="left" w:pos="720"/>
          <w:tab w:val="left" w:pos="1440"/>
        </w:tabs>
        <w:jc w:val="both"/>
      </w:pPr>
      <w:r>
        <w:tab/>
      </w:r>
      <w:r>
        <w:tab/>
      </w:r>
      <w:r>
        <w:tab/>
      </w:r>
      <w:r>
        <w:tab/>
      </w:r>
      <w:r>
        <w:tab/>
      </w:r>
      <w:r>
        <w:tab/>
      </w:r>
      <w:r>
        <w:tab/>
        <w:t>Respectfully submitted,</w:t>
      </w:r>
    </w:p>
    <w:p w14:paraId="11744B04" w14:textId="77777777" w:rsidR="0063167D" w:rsidRDefault="0063167D" w:rsidP="0063167D">
      <w:pPr>
        <w:tabs>
          <w:tab w:val="left" w:pos="720"/>
          <w:tab w:val="left" w:pos="1440"/>
        </w:tabs>
        <w:jc w:val="both"/>
      </w:pPr>
    </w:p>
    <w:p w14:paraId="356E81BD" w14:textId="77777777" w:rsidR="0063167D" w:rsidRDefault="0063167D" w:rsidP="0063167D">
      <w:pPr>
        <w:tabs>
          <w:tab w:val="left" w:pos="720"/>
          <w:tab w:val="left" w:pos="1440"/>
        </w:tabs>
        <w:jc w:val="both"/>
      </w:pPr>
      <w:r>
        <w:tab/>
      </w:r>
      <w:r>
        <w:tab/>
      </w:r>
      <w:r>
        <w:tab/>
      </w:r>
      <w:r>
        <w:tab/>
      </w:r>
      <w:r>
        <w:tab/>
      </w:r>
      <w:r>
        <w:tab/>
      </w:r>
      <w:r>
        <w:tab/>
        <w:t xml:space="preserve">________________________ </w:t>
      </w:r>
    </w:p>
    <w:p w14:paraId="6B740CB8" w14:textId="77777777" w:rsidR="0063167D" w:rsidRDefault="0063167D" w:rsidP="0063167D">
      <w:pPr>
        <w:tabs>
          <w:tab w:val="left" w:pos="720"/>
          <w:tab w:val="left" w:pos="1440"/>
        </w:tabs>
        <w:jc w:val="both"/>
      </w:pPr>
      <w:r>
        <w:tab/>
      </w:r>
      <w:r>
        <w:tab/>
      </w:r>
      <w:r>
        <w:tab/>
      </w:r>
      <w:r>
        <w:tab/>
      </w:r>
      <w:r>
        <w:tab/>
      </w:r>
      <w:r>
        <w:tab/>
      </w:r>
      <w:r>
        <w:tab/>
        <w:t xml:space="preserve">Assistant District Attorney </w:t>
      </w:r>
    </w:p>
    <w:p w14:paraId="5E18DF9C" w14:textId="77777777" w:rsidR="0063167D" w:rsidRDefault="0063167D" w:rsidP="0063167D">
      <w:pPr>
        <w:tabs>
          <w:tab w:val="left" w:pos="720"/>
          <w:tab w:val="left" w:pos="1440"/>
        </w:tabs>
        <w:jc w:val="both"/>
      </w:pPr>
      <w:r>
        <w:tab/>
      </w:r>
      <w:r>
        <w:tab/>
      </w:r>
      <w:r>
        <w:tab/>
      </w:r>
      <w:r>
        <w:tab/>
      </w:r>
      <w:r>
        <w:tab/>
      </w:r>
      <w:r>
        <w:tab/>
      </w:r>
      <w:r>
        <w:tab/>
        <w:t>Child Abuse Unit</w:t>
      </w:r>
    </w:p>
    <w:p w14:paraId="7B474BBE" w14:textId="77777777" w:rsidR="00866325" w:rsidRDefault="0063167D">
      <w:bookmarkStart w:id="0" w:name="_GoBack"/>
      <w:bookmarkEnd w:id="0"/>
    </w:p>
    <w:sectPr w:rsidR="00866325" w:rsidSect="009310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104ABE"/>
    <w:multiLevelType w:val="singleLevel"/>
    <w:tmpl w:val="29F2934E"/>
    <w:lvl w:ilvl="0">
      <w:start w:val="1"/>
      <w:numFmt w:val="decimal"/>
      <w:lvlText w:val="%1. "/>
      <w:legacy w:legacy="1" w:legacySpace="0" w:legacyIndent="360"/>
      <w:lvlJc w:val="left"/>
      <w:pPr>
        <w:ind w:left="360" w:hanging="360"/>
      </w:pPr>
      <w:rPr>
        <w:b w:val="0"/>
        <w:i w:val="0"/>
        <w:sz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67D"/>
    <w:rsid w:val="0003494F"/>
    <w:rsid w:val="0063167D"/>
    <w:rsid w:val="00766433"/>
    <w:rsid w:val="00931064"/>
    <w:rsid w:val="00F520C0"/>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7E60FAF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3167D"/>
    <w:pPr>
      <w:overflowPunct w:val="0"/>
      <w:autoSpaceDE w:val="0"/>
      <w:autoSpaceDN w:val="0"/>
      <w:adjustRightInd w:val="0"/>
      <w:textAlignment w:val="baseline"/>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357</Words>
  <Characters>2038</Characters>
  <Application>Microsoft Macintosh Word</Application>
  <DocSecurity>0</DocSecurity>
  <Lines>16</Lines>
  <Paragraphs>4</Paragraphs>
  <ScaleCrop>false</ScaleCrop>
  <LinksUpToDate>false</LinksUpToDate>
  <CharactersWithSpaces>2391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Chase</dc:creator>
  <cp:keywords/>
  <dc:description/>
  <cp:lastModifiedBy>Edward Chase</cp:lastModifiedBy>
  <cp:revision>1</cp:revision>
  <dcterms:created xsi:type="dcterms:W3CDTF">2017-11-21T21:00:00Z</dcterms:created>
  <dcterms:modified xsi:type="dcterms:W3CDTF">2017-11-21T21:01:00Z</dcterms:modified>
</cp:coreProperties>
</file>